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27D1F" w14:textId="7FFA3F03" w:rsidR="004F6ACD" w:rsidRDefault="004F6ACD" w:rsidP="004F6ACD">
      <w:proofErr w:type="spellStart"/>
      <w:r w:rsidRPr="00567DA3">
        <w:rPr>
          <w:rFonts w:eastAsia="Times New Roman"/>
          <w:b/>
          <w:bCs/>
          <w:kern w:val="28"/>
          <w:lang w:eastAsia="en-AU"/>
        </w:rPr>
        <w:t>DCP</w:t>
      </w:r>
      <w:proofErr w:type="spellEnd"/>
      <w:r w:rsidRPr="00567DA3">
        <w:rPr>
          <w:rFonts w:eastAsia="Times New Roman"/>
          <w:b/>
          <w:bCs/>
          <w:kern w:val="28"/>
          <w:lang w:eastAsia="en-AU"/>
        </w:rPr>
        <w:t xml:space="preserve"> 2013: Part 4 – subdivision compliance tables</w:t>
      </w:r>
    </w:p>
    <w:tbl>
      <w:tblPr>
        <w:tblStyle w:val="TableGrid"/>
        <w:tblW w:w="9449" w:type="dxa"/>
        <w:tblLook w:val="04A0" w:firstRow="1" w:lastRow="0" w:firstColumn="1" w:lastColumn="0" w:noHBand="0" w:noVBand="1"/>
      </w:tblPr>
      <w:tblGrid>
        <w:gridCol w:w="4071"/>
        <w:gridCol w:w="2728"/>
        <w:gridCol w:w="2650"/>
      </w:tblGrid>
      <w:tr w:rsidR="004F6ACD" w:rsidRPr="00567DA3" w14:paraId="360609F4" w14:textId="77777777" w:rsidTr="006578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1" w:type="dxa"/>
            <w:hideMark/>
          </w:tcPr>
          <w:p w14:paraId="50F8F426" w14:textId="77777777" w:rsidR="004F6ACD" w:rsidRPr="00567DA3" w:rsidRDefault="004F6ACD" w:rsidP="006578FC">
            <w:pPr>
              <w:keepNext/>
              <w:spacing w:before="240" w:after="60"/>
              <w:outlineLvl w:val="0"/>
              <w:rPr>
                <w:rFonts w:asciiTheme="minorHAnsi" w:eastAsia="Times New Roman" w:hAnsiTheme="minorHAnsi" w:cstheme="minorHAnsi"/>
                <w:kern w:val="32"/>
                <w:lang w:eastAsia="en-AU"/>
              </w:rPr>
            </w:pPr>
            <w:r w:rsidRPr="00567DA3">
              <w:rPr>
                <w:rFonts w:asciiTheme="minorHAnsi" w:eastAsia="Times New Roman" w:hAnsiTheme="minorHAnsi" w:cstheme="minorHAnsi"/>
                <w:kern w:val="32"/>
                <w:lang w:eastAsia="en-AU"/>
              </w:rPr>
              <w:t>Requirement</w:t>
            </w:r>
          </w:p>
        </w:tc>
        <w:tc>
          <w:tcPr>
            <w:tcW w:w="2728" w:type="dxa"/>
            <w:hideMark/>
          </w:tcPr>
          <w:p w14:paraId="79BB2500" w14:textId="77777777" w:rsidR="004F6ACD" w:rsidRPr="00567DA3" w:rsidRDefault="004F6ACD" w:rsidP="006578FC">
            <w:pPr>
              <w:keepNext/>
              <w:spacing w:before="240" w:after="60"/>
              <w:outlineLvl w:val="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kern w:val="32"/>
                <w:lang w:eastAsia="en-AU"/>
              </w:rPr>
            </w:pPr>
            <w:r w:rsidRPr="00567DA3">
              <w:rPr>
                <w:rFonts w:asciiTheme="minorHAnsi" w:eastAsia="Times New Roman" w:hAnsiTheme="minorHAnsi" w:cstheme="minorHAnsi"/>
                <w:kern w:val="32"/>
                <w:lang w:eastAsia="en-AU"/>
              </w:rPr>
              <w:t>Proposed</w:t>
            </w:r>
          </w:p>
        </w:tc>
        <w:tc>
          <w:tcPr>
            <w:tcW w:w="2650" w:type="dxa"/>
            <w:hideMark/>
          </w:tcPr>
          <w:p w14:paraId="1B8770FB" w14:textId="77777777" w:rsidR="004F6ACD" w:rsidRPr="00567DA3" w:rsidRDefault="004F6ACD" w:rsidP="006578FC">
            <w:pPr>
              <w:keepNext/>
              <w:spacing w:before="240" w:after="60"/>
              <w:outlineLvl w:val="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kern w:val="32"/>
                <w:lang w:eastAsia="en-AU"/>
              </w:rPr>
            </w:pPr>
            <w:r w:rsidRPr="00567DA3">
              <w:rPr>
                <w:rFonts w:asciiTheme="minorHAnsi" w:eastAsia="Times New Roman" w:hAnsiTheme="minorHAnsi" w:cstheme="minorHAnsi"/>
                <w:kern w:val="32"/>
                <w:lang w:eastAsia="en-AU"/>
              </w:rPr>
              <w:t>Compliance</w:t>
            </w:r>
          </w:p>
        </w:tc>
      </w:tr>
      <w:tr w:rsidR="004F6ACD" w:rsidRPr="00567DA3" w14:paraId="643A2101"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20B89508" w14:textId="77777777" w:rsidR="004F6ACD" w:rsidRPr="00567DA3" w:rsidRDefault="004F6ACD" w:rsidP="006578FC">
            <w:pPr>
              <w:rPr>
                <w:rFonts w:eastAsia="Times New Roman" w:cs="Times New Roman"/>
                <w:b/>
                <w:bCs/>
                <w:sz w:val="20"/>
                <w:lang w:eastAsia="en-AU"/>
              </w:rPr>
            </w:pPr>
            <w:r w:rsidRPr="00567DA3">
              <w:rPr>
                <w:rFonts w:eastAsia="Times New Roman" w:cs="Times New Roman"/>
                <w:b/>
                <w:bCs/>
                <w:sz w:val="20"/>
                <w:lang w:eastAsia="en-AU"/>
              </w:rPr>
              <w:t>2.0 Application Requirements</w:t>
            </w:r>
          </w:p>
        </w:tc>
      </w:tr>
      <w:tr w:rsidR="004F6ACD" w:rsidRPr="00567DA3" w14:paraId="74CC7BE6"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511200C" w14:textId="77777777" w:rsidR="004F6ACD" w:rsidRPr="00567DA3" w:rsidRDefault="004F6ACD" w:rsidP="006578FC">
            <w:pPr>
              <w:rPr>
                <w:rFonts w:eastAsia="Times New Roman"/>
                <w:sz w:val="20"/>
                <w:lang w:eastAsia="en-AU"/>
              </w:rPr>
            </w:pPr>
            <w:r w:rsidRPr="00567DA3">
              <w:rPr>
                <w:rFonts w:eastAsia="Times New Roman"/>
                <w:sz w:val="20"/>
                <w:lang w:eastAsia="en-AU"/>
              </w:rPr>
              <w:t>General Requirements (cl 2.1)</w:t>
            </w:r>
          </w:p>
        </w:tc>
        <w:tc>
          <w:tcPr>
            <w:tcW w:w="2728" w:type="dxa"/>
            <w:hideMark/>
          </w:tcPr>
          <w:p w14:paraId="1D07296E"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36CD15DC" w14:textId="77777777" w:rsidR="004F6ACD" w:rsidRPr="009065E6"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9065E6">
              <w:rPr>
                <w:rFonts w:eastAsia="Times New Roman"/>
                <w:sz w:val="20"/>
                <w:lang w:eastAsia="en-AU"/>
              </w:rPr>
              <w:t>Yes</w:t>
            </w:r>
          </w:p>
        </w:tc>
      </w:tr>
      <w:tr w:rsidR="004F6ACD" w:rsidRPr="00567DA3" w14:paraId="67F11810"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63BA24BB" w14:textId="77777777" w:rsidR="004F6ACD" w:rsidRPr="00567DA3" w:rsidRDefault="004F6ACD" w:rsidP="006578FC">
            <w:pPr>
              <w:rPr>
                <w:rFonts w:eastAsia="Times New Roman"/>
                <w:sz w:val="20"/>
                <w:lang w:eastAsia="en-AU"/>
              </w:rPr>
            </w:pPr>
            <w:r w:rsidRPr="00567DA3">
              <w:rPr>
                <w:rFonts w:eastAsia="Times New Roman"/>
                <w:sz w:val="20"/>
                <w:lang w:eastAsia="en-AU"/>
              </w:rPr>
              <w:t>Site Analysis (cl 2.2)</w:t>
            </w:r>
          </w:p>
        </w:tc>
        <w:tc>
          <w:tcPr>
            <w:tcW w:w="2728" w:type="dxa"/>
            <w:hideMark/>
          </w:tcPr>
          <w:p w14:paraId="772015A3"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24EB0A26" w14:textId="77777777" w:rsidR="004F6ACD" w:rsidRPr="009065E6"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p>
        </w:tc>
      </w:tr>
      <w:tr w:rsidR="004F6ACD" w:rsidRPr="00567DA3" w14:paraId="0FC5AB23"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73509DC" w14:textId="77777777" w:rsidR="004F6ACD" w:rsidRPr="00567DA3" w:rsidRDefault="004F6ACD" w:rsidP="006578FC">
            <w:pPr>
              <w:rPr>
                <w:rFonts w:eastAsia="Times New Roman"/>
                <w:sz w:val="20"/>
                <w:lang w:eastAsia="en-AU"/>
              </w:rPr>
            </w:pPr>
            <w:r w:rsidRPr="00567DA3">
              <w:rPr>
                <w:rFonts w:eastAsia="Times New Roman"/>
                <w:sz w:val="20"/>
                <w:lang w:eastAsia="en-AU"/>
              </w:rPr>
              <w:t>Service Plan (cl. 2.4)</w:t>
            </w:r>
          </w:p>
        </w:tc>
        <w:tc>
          <w:tcPr>
            <w:tcW w:w="2728" w:type="dxa"/>
            <w:hideMark/>
          </w:tcPr>
          <w:p w14:paraId="38C813EA"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Provided </w:t>
            </w:r>
          </w:p>
        </w:tc>
        <w:tc>
          <w:tcPr>
            <w:tcW w:w="2650" w:type="dxa"/>
            <w:hideMark/>
          </w:tcPr>
          <w:p w14:paraId="6EB0CD6C" w14:textId="77777777" w:rsidR="004F6ACD" w:rsidRPr="009065E6"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r w:rsidRPr="009065E6">
              <w:rPr>
                <w:rFonts w:eastAsia="Times New Roman"/>
                <w:sz w:val="20"/>
                <w:lang w:eastAsia="en-AU"/>
              </w:rPr>
              <w:t xml:space="preserve"> </w:t>
            </w:r>
          </w:p>
        </w:tc>
      </w:tr>
      <w:tr w:rsidR="004F6ACD" w:rsidRPr="00567DA3" w14:paraId="3F627BA0"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D431DC8" w14:textId="77777777" w:rsidR="004F6ACD" w:rsidRPr="00567DA3" w:rsidRDefault="004F6ACD" w:rsidP="006578FC">
            <w:pPr>
              <w:rPr>
                <w:rFonts w:eastAsia="Times New Roman"/>
                <w:sz w:val="20"/>
                <w:lang w:eastAsia="en-AU"/>
              </w:rPr>
            </w:pPr>
            <w:r w:rsidRPr="00567DA3">
              <w:rPr>
                <w:rFonts w:eastAsia="Times New Roman"/>
                <w:sz w:val="20"/>
                <w:lang w:eastAsia="en-AU"/>
              </w:rPr>
              <w:t>Street Plan (cl. 2.5)</w:t>
            </w:r>
          </w:p>
        </w:tc>
        <w:tc>
          <w:tcPr>
            <w:tcW w:w="2728" w:type="dxa"/>
            <w:hideMark/>
          </w:tcPr>
          <w:p w14:paraId="02DA40C0"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09F2B6FB" w14:textId="77777777" w:rsidR="004F6ACD" w:rsidRPr="009065E6"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r w:rsidRPr="009065E6">
              <w:rPr>
                <w:rFonts w:eastAsia="Times New Roman"/>
                <w:sz w:val="20"/>
                <w:lang w:eastAsia="en-AU"/>
              </w:rPr>
              <w:t xml:space="preserve"> </w:t>
            </w:r>
          </w:p>
        </w:tc>
      </w:tr>
      <w:tr w:rsidR="004F6ACD" w:rsidRPr="00567DA3" w14:paraId="71486D05"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402D7BB0" w14:textId="77777777" w:rsidR="004F6ACD" w:rsidRPr="00567DA3" w:rsidRDefault="004F6ACD" w:rsidP="006578FC">
            <w:pPr>
              <w:rPr>
                <w:rFonts w:eastAsia="Times New Roman"/>
                <w:sz w:val="20"/>
                <w:lang w:eastAsia="en-AU"/>
              </w:rPr>
            </w:pPr>
            <w:r w:rsidRPr="00567DA3">
              <w:rPr>
                <w:rFonts w:eastAsia="Times New Roman"/>
                <w:sz w:val="20"/>
                <w:lang w:eastAsia="en-AU"/>
              </w:rPr>
              <w:t>Lot Layout plan (cl. 2.6)</w:t>
            </w:r>
          </w:p>
        </w:tc>
        <w:tc>
          <w:tcPr>
            <w:tcW w:w="2728" w:type="dxa"/>
            <w:hideMark/>
          </w:tcPr>
          <w:p w14:paraId="2BEEDFF0"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0611BB3B" w14:textId="77777777" w:rsidR="004F6ACD" w:rsidRPr="009065E6"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r w:rsidRPr="009065E6">
              <w:rPr>
                <w:rFonts w:eastAsia="Times New Roman"/>
                <w:sz w:val="20"/>
                <w:lang w:eastAsia="en-AU"/>
              </w:rPr>
              <w:t xml:space="preserve"> </w:t>
            </w:r>
          </w:p>
        </w:tc>
      </w:tr>
      <w:tr w:rsidR="004F6ACD" w:rsidRPr="00567DA3" w14:paraId="344524C6"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028B4791" w14:textId="77777777" w:rsidR="004F6ACD" w:rsidRPr="00567DA3" w:rsidRDefault="004F6ACD" w:rsidP="006578FC">
            <w:pPr>
              <w:rPr>
                <w:rFonts w:eastAsia="Times New Roman" w:cs="Times New Roman"/>
                <w:b/>
                <w:bCs/>
                <w:sz w:val="20"/>
                <w:lang w:eastAsia="en-AU"/>
              </w:rPr>
            </w:pPr>
            <w:r w:rsidRPr="00567DA3">
              <w:rPr>
                <w:rFonts w:eastAsia="Times New Roman" w:cs="Times New Roman"/>
                <w:b/>
                <w:bCs/>
                <w:sz w:val="20"/>
                <w:lang w:eastAsia="en-AU"/>
              </w:rPr>
              <w:t>2.7 Other Requirements</w:t>
            </w:r>
          </w:p>
        </w:tc>
      </w:tr>
      <w:tr w:rsidR="004F6ACD" w:rsidRPr="00567DA3" w14:paraId="3AC2D09B"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5BA08204" w14:textId="77777777" w:rsidR="004F6ACD" w:rsidRPr="00567DA3" w:rsidRDefault="004F6ACD" w:rsidP="006578FC">
            <w:pPr>
              <w:rPr>
                <w:rFonts w:eastAsia="Times New Roman"/>
                <w:sz w:val="20"/>
                <w:lang w:eastAsia="en-AU"/>
              </w:rPr>
            </w:pPr>
            <w:r w:rsidRPr="00567DA3">
              <w:rPr>
                <w:rFonts w:eastAsia="Times New Roman"/>
                <w:sz w:val="20"/>
                <w:lang w:eastAsia="en-AU"/>
              </w:rPr>
              <w:t>Developer Contributions (cl. 2.7.1)</w:t>
            </w:r>
          </w:p>
        </w:tc>
        <w:tc>
          <w:tcPr>
            <w:tcW w:w="2728" w:type="dxa"/>
            <w:hideMark/>
          </w:tcPr>
          <w:p w14:paraId="37A8CC3D"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Applicable contributions could be applied</w:t>
            </w:r>
          </w:p>
        </w:tc>
        <w:tc>
          <w:tcPr>
            <w:tcW w:w="2650" w:type="dxa"/>
            <w:hideMark/>
          </w:tcPr>
          <w:p w14:paraId="61B01281"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r>
              <w:rPr>
                <w:rFonts w:eastAsia="Times New Roman"/>
                <w:sz w:val="20"/>
                <w:lang w:eastAsia="en-AU"/>
              </w:rPr>
              <w:t xml:space="preserve"> – capable of condition of consent</w:t>
            </w:r>
          </w:p>
        </w:tc>
      </w:tr>
      <w:tr w:rsidR="004F6ACD" w:rsidRPr="00567DA3" w14:paraId="771E6952"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5EC999CE" w14:textId="77777777" w:rsidR="004F6ACD" w:rsidRPr="00567DA3" w:rsidRDefault="004F6ACD" w:rsidP="006578FC">
            <w:pPr>
              <w:rPr>
                <w:rFonts w:eastAsia="Times New Roman"/>
                <w:sz w:val="20"/>
                <w:lang w:eastAsia="en-AU"/>
              </w:rPr>
            </w:pPr>
            <w:r w:rsidRPr="00567DA3">
              <w:rPr>
                <w:rFonts w:eastAsia="Times New Roman" w:cs="Times New Roman"/>
                <w:b/>
                <w:bCs/>
                <w:sz w:val="20"/>
                <w:lang w:eastAsia="en-AU"/>
              </w:rPr>
              <w:t>3.0 General Design Principles</w:t>
            </w:r>
          </w:p>
        </w:tc>
      </w:tr>
      <w:tr w:rsidR="004F6ACD" w:rsidRPr="00567DA3" w14:paraId="0489E470"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64BB67CC" w14:textId="77777777" w:rsidR="004F6ACD" w:rsidRPr="00567DA3" w:rsidRDefault="004F6ACD" w:rsidP="006578FC">
            <w:pPr>
              <w:rPr>
                <w:rFonts w:eastAsia="Times New Roman"/>
                <w:sz w:val="20"/>
                <w:lang w:eastAsia="en-AU"/>
              </w:rPr>
            </w:pPr>
            <w:r w:rsidRPr="00567DA3">
              <w:rPr>
                <w:rFonts w:eastAsia="Times New Roman" w:cs="Times New Roman"/>
                <w:b/>
                <w:bCs/>
                <w:sz w:val="20"/>
                <w:lang w:eastAsia="en-AU"/>
              </w:rPr>
              <w:t>3.1 Stormwater Management and Flooding</w:t>
            </w:r>
          </w:p>
        </w:tc>
      </w:tr>
      <w:tr w:rsidR="004F6ACD" w:rsidRPr="00567DA3" w14:paraId="134FFE82"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390D62AC" w14:textId="77777777" w:rsidR="004F6ACD" w:rsidRPr="00567DA3" w:rsidRDefault="004F6ACD" w:rsidP="006578FC">
            <w:pPr>
              <w:rPr>
                <w:rFonts w:eastAsia="Times New Roman"/>
                <w:sz w:val="20"/>
                <w:lang w:eastAsia="en-AU"/>
              </w:rPr>
            </w:pPr>
            <w:r w:rsidRPr="00567DA3">
              <w:rPr>
                <w:rFonts w:eastAsia="Times New Roman"/>
                <w:sz w:val="20"/>
                <w:lang w:eastAsia="en-AU"/>
              </w:rPr>
              <w:t>The proposal satisfies stormwater management. Council’s engineer supports the proposal subject to conditions of consent</w:t>
            </w:r>
          </w:p>
        </w:tc>
        <w:tc>
          <w:tcPr>
            <w:tcW w:w="2728" w:type="dxa"/>
          </w:tcPr>
          <w:p w14:paraId="518F2CF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Provided </w:t>
            </w:r>
          </w:p>
        </w:tc>
        <w:tc>
          <w:tcPr>
            <w:tcW w:w="2650" w:type="dxa"/>
          </w:tcPr>
          <w:p w14:paraId="7CBDAAD7"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Yes </w:t>
            </w:r>
          </w:p>
        </w:tc>
      </w:tr>
      <w:tr w:rsidR="004F6ACD" w:rsidRPr="00567DA3" w14:paraId="76C771A5"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7EE37333" w14:textId="77777777" w:rsidR="004F6ACD" w:rsidRPr="00567DA3" w:rsidRDefault="004F6ACD" w:rsidP="006578FC">
            <w:pPr>
              <w:rPr>
                <w:rFonts w:eastAsia="Times New Roman" w:cs="Times New Roman"/>
                <w:b/>
                <w:bCs/>
                <w:sz w:val="20"/>
                <w:lang w:eastAsia="en-AU"/>
              </w:rPr>
            </w:pPr>
            <w:r w:rsidRPr="00567DA3">
              <w:rPr>
                <w:rFonts w:eastAsia="Times New Roman" w:cs="Times New Roman"/>
                <w:b/>
                <w:bCs/>
                <w:sz w:val="20"/>
                <w:lang w:eastAsia="en-AU"/>
              </w:rPr>
              <w:t>3.1.2 Erosion and Sediment Control</w:t>
            </w:r>
          </w:p>
        </w:tc>
      </w:tr>
      <w:tr w:rsidR="004F6ACD" w:rsidRPr="00567DA3" w14:paraId="32DCFFD0"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5C5FCC8A" w14:textId="77777777" w:rsidR="004F6ACD" w:rsidRPr="00567DA3" w:rsidRDefault="004F6ACD" w:rsidP="006578FC">
            <w:pPr>
              <w:rPr>
                <w:rFonts w:eastAsia="Times New Roman"/>
                <w:sz w:val="20"/>
                <w:lang w:eastAsia="en-AU"/>
              </w:rPr>
            </w:pPr>
            <w:r w:rsidRPr="00567DA3">
              <w:rPr>
                <w:rFonts w:eastAsia="Times New Roman"/>
                <w:sz w:val="20"/>
                <w:lang w:eastAsia="en-AU"/>
              </w:rPr>
              <w:t>Erosion and sediment controls are provided</w:t>
            </w:r>
          </w:p>
        </w:tc>
        <w:tc>
          <w:tcPr>
            <w:tcW w:w="2728" w:type="dxa"/>
          </w:tcPr>
          <w:p w14:paraId="62369EE0"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Provided </w:t>
            </w:r>
          </w:p>
        </w:tc>
        <w:tc>
          <w:tcPr>
            <w:tcW w:w="2650" w:type="dxa"/>
          </w:tcPr>
          <w:p w14:paraId="6479E1E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r>
              <w:rPr>
                <w:rFonts w:eastAsia="Times New Roman"/>
                <w:sz w:val="20"/>
                <w:lang w:eastAsia="en-AU"/>
              </w:rPr>
              <w:t xml:space="preserve"> – capable of condition of consent.  </w:t>
            </w:r>
          </w:p>
        </w:tc>
      </w:tr>
      <w:tr w:rsidR="004F6ACD" w:rsidRPr="00567DA3" w14:paraId="5BD026E4"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634EA9AC" w14:textId="77777777" w:rsidR="004F6ACD" w:rsidRPr="00567DA3" w:rsidRDefault="004F6ACD" w:rsidP="006578FC">
            <w:pPr>
              <w:rPr>
                <w:rFonts w:eastAsia="Times New Roman" w:cs="Times New Roman"/>
                <w:b/>
                <w:bCs/>
                <w:sz w:val="20"/>
                <w:lang w:eastAsia="en-AU"/>
              </w:rPr>
            </w:pPr>
            <w:r w:rsidRPr="00567DA3">
              <w:rPr>
                <w:rFonts w:eastAsia="Times New Roman" w:cs="Times New Roman"/>
                <w:b/>
                <w:bCs/>
                <w:sz w:val="20"/>
                <w:lang w:eastAsia="en-AU"/>
              </w:rPr>
              <w:t>3.1.3 Flooding</w:t>
            </w:r>
          </w:p>
        </w:tc>
      </w:tr>
      <w:tr w:rsidR="004F6ACD" w:rsidRPr="00567DA3" w14:paraId="7CA5F1C4"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5B70D8E3"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Subdivision of land on floodplain not encouraged. Development must comply with </w:t>
            </w:r>
            <w:proofErr w:type="spellStart"/>
            <w:r w:rsidRPr="00567DA3">
              <w:rPr>
                <w:rFonts w:eastAsia="Times New Roman"/>
                <w:sz w:val="20"/>
                <w:lang w:eastAsia="en-AU"/>
              </w:rPr>
              <w:t>DCP</w:t>
            </w:r>
            <w:proofErr w:type="spellEnd"/>
            <w:r w:rsidRPr="00567DA3">
              <w:rPr>
                <w:rFonts w:eastAsia="Times New Roman"/>
                <w:sz w:val="20"/>
                <w:lang w:eastAsia="en-AU"/>
              </w:rPr>
              <w:t xml:space="preserve"> 3.3 Floodplain Management.</w:t>
            </w:r>
          </w:p>
        </w:tc>
        <w:tc>
          <w:tcPr>
            <w:tcW w:w="2728" w:type="dxa"/>
          </w:tcPr>
          <w:p w14:paraId="133D5110"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Stages 6 &amp; 7 are not flood affected</w:t>
            </w:r>
          </w:p>
        </w:tc>
        <w:tc>
          <w:tcPr>
            <w:tcW w:w="2650" w:type="dxa"/>
            <w:hideMark/>
          </w:tcPr>
          <w:p w14:paraId="325B8910"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NA</w:t>
            </w:r>
          </w:p>
        </w:tc>
      </w:tr>
      <w:tr w:rsidR="004F6ACD" w:rsidRPr="00567DA3" w14:paraId="73E642B2"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0538ECEF" w14:textId="77777777" w:rsidR="004F6ACD" w:rsidRPr="00567DA3" w:rsidRDefault="004F6ACD" w:rsidP="006578FC">
            <w:pPr>
              <w:rPr>
                <w:rFonts w:eastAsia="Times New Roman"/>
                <w:b/>
                <w:sz w:val="20"/>
                <w:lang w:eastAsia="en-AU"/>
              </w:rPr>
            </w:pPr>
            <w:r w:rsidRPr="00567DA3">
              <w:rPr>
                <w:rFonts w:eastAsia="Times New Roman"/>
                <w:b/>
                <w:sz w:val="20"/>
                <w:lang w:eastAsia="en-AU"/>
              </w:rPr>
              <w:t>3.2 Services</w:t>
            </w:r>
          </w:p>
        </w:tc>
      </w:tr>
      <w:tr w:rsidR="004F6ACD" w:rsidRPr="00567DA3" w14:paraId="7BF58826"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63999781" w14:textId="77777777" w:rsidR="004F6ACD" w:rsidRPr="00567DA3" w:rsidRDefault="004F6ACD" w:rsidP="006578FC">
            <w:pPr>
              <w:rPr>
                <w:rFonts w:eastAsia="Times New Roman"/>
                <w:sz w:val="20"/>
                <w:lang w:eastAsia="en-AU"/>
              </w:rPr>
            </w:pPr>
            <w:r w:rsidRPr="00567DA3">
              <w:rPr>
                <w:rFonts w:eastAsia="Times New Roman"/>
                <w:sz w:val="20"/>
                <w:lang w:eastAsia="en-AU"/>
              </w:rPr>
              <w:t>In established areas, new services shall have regard to the existing mode of installation (cl. 3.2.c)</w:t>
            </w:r>
          </w:p>
        </w:tc>
        <w:tc>
          <w:tcPr>
            <w:tcW w:w="2728" w:type="dxa"/>
          </w:tcPr>
          <w:p w14:paraId="16561EF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Provided</w:t>
            </w:r>
          </w:p>
        </w:tc>
        <w:tc>
          <w:tcPr>
            <w:tcW w:w="2650" w:type="dxa"/>
            <w:hideMark/>
          </w:tcPr>
          <w:p w14:paraId="00EF6B57"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p>
        </w:tc>
      </w:tr>
      <w:tr w:rsidR="004F6ACD" w:rsidRPr="00567DA3" w14:paraId="1E0119DB"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157505B5" w14:textId="77777777" w:rsidR="004F6ACD" w:rsidRPr="00567DA3" w:rsidRDefault="004F6ACD" w:rsidP="006578FC">
            <w:pPr>
              <w:rPr>
                <w:rFonts w:eastAsia="Times New Roman"/>
                <w:sz w:val="20"/>
                <w:lang w:eastAsia="en-AU"/>
              </w:rPr>
            </w:pPr>
            <w:r w:rsidRPr="00567DA3">
              <w:rPr>
                <w:rFonts w:eastAsia="Times New Roman"/>
                <w:sz w:val="20"/>
                <w:lang w:eastAsia="en-AU"/>
              </w:rPr>
              <w:t>All services shall be provided underground (cl. 3.2.d)</w:t>
            </w:r>
          </w:p>
        </w:tc>
        <w:tc>
          <w:tcPr>
            <w:tcW w:w="2728" w:type="dxa"/>
            <w:hideMark/>
          </w:tcPr>
          <w:p w14:paraId="45689EF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59A80628"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r>
              <w:rPr>
                <w:rFonts w:eastAsia="Times New Roman"/>
                <w:sz w:val="20"/>
                <w:lang w:eastAsia="en-AU"/>
              </w:rPr>
              <w:t xml:space="preserve">– capable of condition of consent.  </w:t>
            </w:r>
          </w:p>
        </w:tc>
      </w:tr>
      <w:tr w:rsidR="004F6ACD" w:rsidRPr="00567DA3" w14:paraId="27757732"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B499A8F" w14:textId="77777777" w:rsidR="004F6ACD" w:rsidRPr="00567DA3" w:rsidRDefault="004F6ACD" w:rsidP="006578FC">
            <w:pPr>
              <w:rPr>
                <w:rFonts w:eastAsia="Times New Roman"/>
                <w:sz w:val="20"/>
                <w:lang w:eastAsia="en-AU"/>
              </w:rPr>
            </w:pPr>
            <w:r w:rsidRPr="00567DA3">
              <w:rPr>
                <w:rFonts w:eastAsia="Times New Roman"/>
                <w:sz w:val="20"/>
                <w:lang w:eastAsia="en-AU"/>
              </w:rPr>
              <w:t>The location of utility services not to affect significant vegetation or waterways (cl. 3.2.f)</w:t>
            </w:r>
          </w:p>
        </w:tc>
        <w:tc>
          <w:tcPr>
            <w:tcW w:w="2728" w:type="dxa"/>
            <w:hideMark/>
          </w:tcPr>
          <w:p w14:paraId="41BB3C09"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46FB082D"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2070519C"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606A92A0" w14:textId="77777777" w:rsidR="004F6ACD" w:rsidRPr="00567DA3" w:rsidRDefault="004F6ACD" w:rsidP="006578FC">
            <w:pPr>
              <w:rPr>
                <w:rFonts w:eastAsia="Times New Roman"/>
                <w:sz w:val="20"/>
                <w:lang w:eastAsia="en-AU"/>
              </w:rPr>
            </w:pPr>
            <w:r w:rsidRPr="00567DA3">
              <w:rPr>
                <w:rFonts w:eastAsia="Times New Roman"/>
                <w:sz w:val="20"/>
                <w:lang w:eastAsia="en-AU"/>
              </w:rPr>
              <w:t>Functional energy efficient and appropriately located lighting is required in streets and public places (cl. 3.2.g)</w:t>
            </w:r>
          </w:p>
        </w:tc>
        <w:tc>
          <w:tcPr>
            <w:tcW w:w="2728" w:type="dxa"/>
            <w:hideMark/>
          </w:tcPr>
          <w:p w14:paraId="7387FFAE"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Capable of conditions</w:t>
            </w:r>
          </w:p>
        </w:tc>
        <w:tc>
          <w:tcPr>
            <w:tcW w:w="2650" w:type="dxa"/>
            <w:hideMark/>
          </w:tcPr>
          <w:p w14:paraId="4368A435"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25A97A66"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0FF784AC" w14:textId="77777777" w:rsidR="004F6ACD" w:rsidRPr="00567DA3" w:rsidRDefault="004F6ACD" w:rsidP="006578FC">
            <w:pPr>
              <w:rPr>
                <w:rFonts w:eastAsia="Times New Roman"/>
                <w:b/>
                <w:sz w:val="20"/>
                <w:lang w:eastAsia="en-AU"/>
              </w:rPr>
            </w:pPr>
            <w:r w:rsidRPr="00567DA3">
              <w:rPr>
                <w:rFonts w:eastAsia="Times New Roman"/>
                <w:b/>
                <w:sz w:val="20"/>
                <w:lang w:eastAsia="en-AU"/>
              </w:rPr>
              <w:t>3.3 Cut, Fill and Earthworks</w:t>
            </w:r>
          </w:p>
        </w:tc>
      </w:tr>
      <w:tr w:rsidR="004F6ACD" w:rsidRPr="00567DA3" w14:paraId="3BC1361B" w14:textId="77777777" w:rsidTr="006578FC">
        <w:tc>
          <w:tcPr>
            <w:cnfStyle w:val="001000000000" w:firstRow="0" w:lastRow="0" w:firstColumn="1" w:lastColumn="0" w:oddVBand="0" w:evenVBand="0" w:oddHBand="0" w:evenHBand="0" w:firstRowFirstColumn="0" w:firstRowLastColumn="0" w:lastRowFirstColumn="0" w:lastRowLastColumn="0"/>
            <w:tcW w:w="4071" w:type="dxa"/>
          </w:tcPr>
          <w:p w14:paraId="71C97291" w14:textId="77777777" w:rsidR="004F6ACD" w:rsidRPr="00567DA3" w:rsidRDefault="004F6ACD" w:rsidP="006578FC">
            <w:pPr>
              <w:rPr>
                <w:rFonts w:eastAsia="Times New Roman"/>
                <w:sz w:val="20"/>
                <w:lang w:eastAsia="en-AU"/>
              </w:rPr>
            </w:pPr>
            <w:r>
              <w:rPr>
                <w:rFonts w:eastAsia="Times New Roman"/>
                <w:sz w:val="20"/>
                <w:lang w:eastAsia="en-AU"/>
              </w:rPr>
              <w:lastRenderedPageBreak/>
              <w:t>Minimise earthworks, cut and fill and protect land stability</w:t>
            </w:r>
          </w:p>
        </w:tc>
        <w:tc>
          <w:tcPr>
            <w:tcW w:w="2728" w:type="dxa"/>
            <w:hideMark/>
          </w:tcPr>
          <w:p w14:paraId="583D2ADF"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Earthwork and retaining plans provided. </w:t>
            </w:r>
          </w:p>
          <w:p w14:paraId="3DA2932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p>
        </w:tc>
        <w:tc>
          <w:tcPr>
            <w:tcW w:w="2650" w:type="dxa"/>
            <w:hideMark/>
          </w:tcPr>
          <w:p w14:paraId="20F395A9"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p>
        </w:tc>
      </w:tr>
      <w:tr w:rsidR="004F6ACD" w:rsidRPr="00567DA3" w14:paraId="4D901530"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7E458F1C" w14:textId="77777777" w:rsidR="004F6ACD" w:rsidRPr="00567DA3" w:rsidRDefault="004F6ACD" w:rsidP="006578FC">
            <w:pPr>
              <w:rPr>
                <w:rFonts w:eastAsia="Times New Roman" w:cs="Times New Roman"/>
                <w:b/>
                <w:bCs/>
                <w:sz w:val="20"/>
                <w:lang w:eastAsia="en-AU"/>
              </w:rPr>
            </w:pPr>
            <w:r w:rsidRPr="00567DA3">
              <w:rPr>
                <w:rFonts w:eastAsia="Times New Roman" w:cs="Times New Roman"/>
                <w:b/>
                <w:bCs/>
                <w:sz w:val="20"/>
                <w:lang w:eastAsia="en-AU"/>
              </w:rPr>
              <w:t>3.4 Street Layout and Design</w:t>
            </w:r>
          </w:p>
        </w:tc>
      </w:tr>
      <w:tr w:rsidR="004F6ACD" w:rsidRPr="00567DA3" w14:paraId="39A30A93"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B89C18F"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A road hierarchy is to be established which distinguishes between access lanes/places, access streets, local streets, collector streets and distributor roads (cl. 3.4.a) </w:t>
            </w:r>
          </w:p>
        </w:tc>
        <w:tc>
          <w:tcPr>
            <w:tcW w:w="2728" w:type="dxa"/>
            <w:hideMark/>
          </w:tcPr>
          <w:p w14:paraId="5ED34CB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6B33B491"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Yes –In spite of departure </w:t>
            </w:r>
            <w:proofErr w:type="gramStart"/>
            <w:r>
              <w:rPr>
                <w:rFonts w:eastAsia="Times New Roman"/>
                <w:sz w:val="20"/>
                <w:lang w:eastAsia="en-AU"/>
              </w:rPr>
              <w:t xml:space="preserve">to  </w:t>
            </w:r>
            <w:proofErr w:type="spellStart"/>
            <w:r>
              <w:rPr>
                <w:rFonts w:eastAsia="Times New Roman"/>
                <w:sz w:val="20"/>
                <w:lang w:eastAsia="en-AU"/>
              </w:rPr>
              <w:t>Chp</w:t>
            </w:r>
            <w:proofErr w:type="spellEnd"/>
            <w:proofErr w:type="gramEnd"/>
            <w:r>
              <w:rPr>
                <w:rFonts w:eastAsia="Times New Roman"/>
                <w:sz w:val="20"/>
                <w:lang w:eastAsia="en-AU"/>
              </w:rPr>
              <w:t xml:space="preserve"> 5.5 the proposed road hierarchy creates a desirable outcome.</w:t>
            </w:r>
          </w:p>
        </w:tc>
      </w:tr>
      <w:tr w:rsidR="004F6ACD" w:rsidRPr="00567DA3" w14:paraId="30490E65"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3ED97275"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The street network shall respond to the </w:t>
            </w:r>
            <w:proofErr w:type="gramStart"/>
            <w:r w:rsidRPr="00567DA3">
              <w:rPr>
                <w:rFonts w:eastAsia="Times New Roman"/>
                <w:sz w:val="20"/>
                <w:lang w:eastAsia="en-AU"/>
              </w:rPr>
              <w:t>areas</w:t>
            </w:r>
            <w:proofErr w:type="gramEnd"/>
            <w:r w:rsidRPr="00567DA3">
              <w:rPr>
                <w:rFonts w:eastAsia="Times New Roman"/>
                <w:sz w:val="20"/>
                <w:lang w:eastAsia="en-AU"/>
              </w:rPr>
              <w:t xml:space="preserve"> topography and natural features (cl. 3.4.g)</w:t>
            </w:r>
          </w:p>
        </w:tc>
        <w:tc>
          <w:tcPr>
            <w:tcW w:w="2728" w:type="dxa"/>
            <w:hideMark/>
          </w:tcPr>
          <w:p w14:paraId="3708D02A"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6826B70B"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Yes </w:t>
            </w:r>
          </w:p>
        </w:tc>
      </w:tr>
      <w:tr w:rsidR="004F6ACD" w:rsidRPr="00567DA3" w14:paraId="00968476"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7DB9F3A8" w14:textId="77777777" w:rsidR="004F6ACD" w:rsidRPr="00567DA3" w:rsidRDefault="004F6ACD" w:rsidP="006578FC">
            <w:pPr>
              <w:rPr>
                <w:rFonts w:eastAsia="Times New Roman"/>
                <w:sz w:val="20"/>
                <w:lang w:eastAsia="en-AU"/>
              </w:rPr>
            </w:pPr>
            <w:r w:rsidRPr="00567DA3">
              <w:rPr>
                <w:rFonts w:eastAsia="Times New Roman"/>
                <w:sz w:val="20"/>
                <w:lang w:eastAsia="en-AU"/>
              </w:rPr>
              <w:t>Streets shall be designed in accordance with the table in Appendix B (cl. 3.4.h)</w:t>
            </w:r>
          </w:p>
        </w:tc>
        <w:tc>
          <w:tcPr>
            <w:tcW w:w="2728" w:type="dxa"/>
            <w:hideMark/>
          </w:tcPr>
          <w:p w14:paraId="61C5725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6EC116D9"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proofErr w:type="spellStart"/>
            <w:r>
              <w:rPr>
                <w:rFonts w:eastAsia="Times New Roman"/>
                <w:sz w:val="20"/>
                <w:lang w:eastAsia="en-AU"/>
              </w:rPr>
              <w:t>Chp</w:t>
            </w:r>
            <w:proofErr w:type="spellEnd"/>
            <w:r>
              <w:rPr>
                <w:rFonts w:eastAsia="Times New Roman"/>
                <w:sz w:val="20"/>
                <w:lang w:eastAsia="en-AU"/>
              </w:rPr>
              <w:t xml:space="preserve"> 5.5 prevails</w:t>
            </w:r>
          </w:p>
        </w:tc>
      </w:tr>
      <w:tr w:rsidR="004F6ACD" w:rsidRPr="00567DA3" w14:paraId="6DCFC09C"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9645FA3" w14:textId="77777777" w:rsidR="004F6ACD" w:rsidRPr="00567DA3" w:rsidRDefault="004F6ACD" w:rsidP="006578FC">
            <w:pPr>
              <w:rPr>
                <w:rFonts w:eastAsia="Times New Roman"/>
                <w:sz w:val="20"/>
                <w:lang w:eastAsia="en-AU"/>
              </w:rPr>
            </w:pPr>
            <w:r w:rsidRPr="00567DA3">
              <w:rPr>
                <w:rFonts w:eastAsia="Times New Roman"/>
                <w:sz w:val="20"/>
                <w:lang w:eastAsia="en-AU"/>
              </w:rPr>
              <w:t>The street network must interconnect between neighbourhood elements, transport modes and integrate with adjoining development (cl. 3.4.i)</w:t>
            </w:r>
          </w:p>
        </w:tc>
        <w:tc>
          <w:tcPr>
            <w:tcW w:w="2728" w:type="dxa"/>
            <w:hideMark/>
          </w:tcPr>
          <w:p w14:paraId="0AB5AF9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771EA5E9"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r>
              <w:rPr>
                <w:rFonts w:eastAsia="Times New Roman"/>
                <w:sz w:val="20"/>
                <w:lang w:eastAsia="en-AU"/>
              </w:rPr>
              <w:t xml:space="preserve">. </w:t>
            </w:r>
          </w:p>
        </w:tc>
      </w:tr>
      <w:tr w:rsidR="004F6ACD" w:rsidRPr="00567DA3" w14:paraId="6EA5DD38"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561D048D" w14:textId="77777777" w:rsidR="004F6ACD" w:rsidRPr="00567DA3" w:rsidRDefault="004F6ACD" w:rsidP="006578FC">
            <w:pPr>
              <w:rPr>
                <w:rFonts w:eastAsia="Times New Roman"/>
                <w:sz w:val="20"/>
                <w:lang w:eastAsia="en-AU"/>
              </w:rPr>
            </w:pPr>
            <w:r w:rsidRPr="00567DA3">
              <w:rPr>
                <w:rFonts w:eastAsia="Times New Roman"/>
                <w:sz w:val="20"/>
                <w:lang w:eastAsia="en-AU"/>
              </w:rPr>
              <w:t>Streets are to be designed to enable each lot to access street frontage (cl. 3.4.j)</w:t>
            </w:r>
          </w:p>
        </w:tc>
        <w:tc>
          <w:tcPr>
            <w:tcW w:w="2728" w:type="dxa"/>
            <w:hideMark/>
          </w:tcPr>
          <w:p w14:paraId="32447402"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072341F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39F81EA8"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6C24944B" w14:textId="77777777" w:rsidR="004F6ACD" w:rsidRPr="00567DA3" w:rsidRDefault="004F6ACD" w:rsidP="006578FC">
            <w:pPr>
              <w:rPr>
                <w:rFonts w:eastAsia="Times New Roman"/>
                <w:sz w:val="20"/>
                <w:lang w:eastAsia="en-AU"/>
              </w:rPr>
            </w:pPr>
            <w:r w:rsidRPr="00567DA3">
              <w:rPr>
                <w:rFonts w:eastAsia="Times New Roman"/>
                <w:sz w:val="20"/>
                <w:lang w:eastAsia="en-AU"/>
              </w:rPr>
              <w:t>The street design should consider adequate sight distance in regard for lot access (cl. 3.4.n)</w:t>
            </w:r>
          </w:p>
        </w:tc>
        <w:tc>
          <w:tcPr>
            <w:tcW w:w="2728" w:type="dxa"/>
            <w:hideMark/>
          </w:tcPr>
          <w:p w14:paraId="5259F143"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5F898675"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2B6DBE05"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7EBCD8F0" w14:textId="77777777" w:rsidR="004F6ACD" w:rsidRPr="00567DA3" w:rsidRDefault="004F6ACD" w:rsidP="006578FC">
            <w:pPr>
              <w:rPr>
                <w:rFonts w:eastAsia="Times New Roman"/>
                <w:sz w:val="20"/>
                <w:lang w:eastAsia="en-AU"/>
              </w:rPr>
            </w:pPr>
            <w:r w:rsidRPr="00567DA3">
              <w:rPr>
                <w:rFonts w:eastAsia="Times New Roman"/>
                <w:sz w:val="20"/>
                <w:lang w:eastAsia="en-AU"/>
              </w:rPr>
              <w:t>Residential street blocks shall be no more than 80m deep and 160m long (cl. 3.4.o)</w:t>
            </w:r>
          </w:p>
        </w:tc>
        <w:tc>
          <w:tcPr>
            <w:tcW w:w="2728" w:type="dxa"/>
            <w:hideMark/>
          </w:tcPr>
          <w:p w14:paraId="2DDB5B16"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5342240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34BEBF28"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C1FA19B" w14:textId="77777777" w:rsidR="004F6ACD" w:rsidRPr="00567DA3" w:rsidRDefault="004F6ACD" w:rsidP="006578FC">
            <w:pPr>
              <w:rPr>
                <w:rFonts w:eastAsia="Times New Roman"/>
                <w:sz w:val="20"/>
                <w:lang w:eastAsia="en-AU"/>
              </w:rPr>
            </w:pPr>
            <w:r w:rsidRPr="00567DA3">
              <w:rPr>
                <w:rFonts w:eastAsia="Times New Roman"/>
                <w:sz w:val="20"/>
                <w:lang w:eastAsia="en-AU"/>
              </w:rPr>
              <w:t>Where the land abuts open space or bushland, an urban interface area is required (</w:t>
            </w:r>
            <w:proofErr w:type="spellStart"/>
            <w:r w:rsidRPr="00567DA3">
              <w:rPr>
                <w:rFonts w:eastAsia="Times New Roman"/>
                <w:sz w:val="20"/>
                <w:lang w:eastAsia="en-AU"/>
              </w:rPr>
              <w:t>UIA</w:t>
            </w:r>
            <w:proofErr w:type="spellEnd"/>
            <w:r w:rsidRPr="00567DA3">
              <w:rPr>
                <w:rFonts w:eastAsia="Times New Roman"/>
                <w:sz w:val="20"/>
                <w:lang w:eastAsia="en-AU"/>
              </w:rPr>
              <w:t>) as outlined in s.3.9 (cl. 3.4.q)</w:t>
            </w:r>
          </w:p>
        </w:tc>
        <w:tc>
          <w:tcPr>
            <w:tcW w:w="2728" w:type="dxa"/>
          </w:tcPr>
          <w:p w14:paraId="54877E57"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NA</w:t>
            </w:r>
          </w:p>
        </w:tc>
        <w:tc>
          <w:tcPr>
            <w:tcW w:w="2650" w:type="dxa"/>
            <w:hideMark/>
          </w:tcPr>
          <w:p w14:paraId="6D06B0EF"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N/A</w:t>
            </w:r>
          </w:p>
        </w:tc>
      </w:tr>
      <w:tr w:rsidR="004F6ACD" w:rsidRPr="00567DA3" w14:paraId="1CFD4EAC"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14B81E9A" w14:textId="77777777" w:rsidR="004F6ACD" w:rsidRPr="00567DA3" w:rsidRDefault="004F6ACD" w:rsidP="006578FC">
            <w:pPr>
              <w:rPr>
                <w:rFonts w:eastAsia="Times New Roman"/>
                <w:sz w:val="20"/>
                <w:lang w:eastAsia="en-AU"/>
              </w:rPr>
            </w:pPr>
            <w:r w:rsidRPr="00567DA3">
              <w:rPr>
                <w:rFonts w:eastAsia="Times New Roman"/>
                <w:sz w:val="20"/>
                <w:lang w:eastAsia="en-AU"/>
              </w:rPr>
              <w:t>Appropriate intersection controls are to be provided (cl. 3.4.r)</w:t>
            </w:r>
          </w:p>
        </w:tc>
        <w:tc>
          <w:tcPr>
            <w:tcW w:w="2728" w:type="dxa"/>
            <w:hideMark/>
          </w:tcPr>
          <w:p w14:paraId="767AAED7"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To be applied as part of the consent</w:t>
            </w:r>
          </w:p>
        </w:tc>
        <w:tc>
          <w:tcPr>
            <w:tcW w:w="2650" w:type="dxa"/>
            <w:hideMark/>
          </w:tcPr>
          <w:p w14:paraId="5B927773"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25F8BDC6"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3CBFD26F" w14:textId="77777777" w:rsidR="004F6ACD" w:rsidRPr="00567DA3" w:rsidRDefault="004F6ACD" w:rsidP="006578FC">
            <w:pPr>
              <w:rPr>
                <w:rFonts w:eastAsia="Times New Roman"/>
                <w:b/>
                <w:sz w:val="20"/>
                <w:lang w:eastAsia="en-AU"/>
              </w:rPr>
            </w:pPr>
            <w:r w:rsidRPr="00567DA3">
              <w:rPr>
                <w:rFonts w:eastAsia="Times New Roman"/>
                <w:b/>
                <w:sz w:val="20"/>
                <w:lang w:eastAsia="en-AU"/>
              </w:rPr>
              <w:t>3.5 Footpaths and Cycleways</w:t>
            </w:r>
          </w:p>
        </w:tc>
      </w:tr>
      <w:tr w:rsidR="004F6ACD" w:rsidRPr="00567DA3" w14:paraId="1C0AC3A9"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5295196A" w14:textId="77777777" w:rsidR="004F6ACD" w:rsidRPr="00567DA3" w:rsidRDefault="004F6ACD" w:rsidP="006578FC">
            <w:pPr>
              <w:rPr>
                <w:rFonts w:eastAsia="Times New Roman"/>
                <w:sz w:val="20"/>
                <w:lang w:eastAsia="en-AU"/>
              </w:rPr>
            </w:pPr>
            <w:r w:rsidRPr="00567DA3">
              <w:rPr>
                <w:rFonts w:eastAsia="Times New Roman"/>
                <w:sz w:val="20"/>
                <w:lang w:eastAsia="en-AU"/>
              </w:rPr>
              <w:t>Footpaths are to be provided on one side of the street for access places/lanes, access streets and local roads (cl. 3.5.a)</w:t>
            </w:r>
          </w:p>
        </w:tc>
        <w:tc>
          <w:tcPr>
            <w:tcW w:w="2728" w:type="dxa"/>
            <w:hideMark/>
          </w:tcPr>
          <w:p w14:paraId="3CFCD219"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Footpaths provided</w:t>
            </w:r>
          </w:p>
        </w:tc>
        <w:tc>
          <w:tcPr>
            <w:tcW w:w="2650" w:type="dxa"/>
            <w:hideMark/>
          </w:tcPr>
          <w:p w14:paraId="4A14D3B6"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p>
        </w:tc>
      </w:tr>
      <w:tr w:rsidR="004F6ACD" w:rsidRPr="00567DA3" w14:paraId="3B6491F0"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6400FC5D" w14:textId="77777777" w:rsidR="004F6ACD" w:rsidRPr="00567DA3" w:rsidRDefault="004F6ACD" w:rsidP="006578FC">
            <w:pPr>
              <w:rPr>
                <w:rFonts w:eastAsia="Times New Roman"/>
                <w:sz w:val="20"/>
                <w:lang w:eastAsia="en-AU"/>
              </w:rPr>
            </w:pPr>
            <w:r w:rsidRPr="00567DA3">
              <w:rPr>
                <w:rFonts w:eastAsia="Times New Roman"/>
                <w:sz w:val="20"/>
                <w:lang w:eastAsia="en-AU"/>
              </w:rPr>
              <w:t>Subdivisions are to provide pedestrian links between street networks.</w:t>
            </w:r>
          </w:p>
          <w:p w14:paraId="14DE710D" w14:textId="77777777" w:rsidR="004F6ACD" w:rsidRPr="00567DA3" w:rsidRDefault="004F6ACD" w:rsidP="006578FC">
            <w:pPr>
              <w:rPr>
                <w:rFonts w:eastAsia="Times New Roman"/>
                <w:sz w:val="20"/>
                <w:lang w:eastAsia="en-AU"/>
              </w:rPr>
            </w:pPr>
            <w:proofErr w:type="spellStart"/>
            <w:r w:rsidRPr="00567DA3">
              <w:rPr>
                <w:rFonts w:eastAsia="Times New Roman"/>
                <w:sz w:val="20"/>
                <w:lang w:eastAsia="en-AU"/>
              </w:rPr>
              <w:t>Cul</w:t>
            </w:r>
            <w:proofErr w:type="spellEnd"/>
            <w:r w:rsidRPr="00567DA3">
              <w:rPr>
                <w:rFonts w:eastAsia="Times New Roman"/>
                <w:sz w:val="20"/>
                <w:lang w:eastAsia="en-AU"/>
              </w:rPr>
              <w:t xml:space="preserve"> de sacs where possible are to be designed in accordance with </w:t>
            </w:r>
            <w:proofErr w:type="spellStart"/>
            <w:r w:rsidRPr="00567DA3">
              <w:rPr>
                <w:rFonts w:eastAsia="Times New Roman"/>
                <w:sz w:val="20"/>
                <w:lang w:eastAsia="en-AU"/>
              </w:rPr>
              <w:t>CPTED</w:t>
            </w:r>
            <w:proofErr w:type="spellEnd"/>
            <w:r w:rsidRPr="00567DA3">
              <w:rPr>
                <w:rFonts w:eastAsia="Times New Roman"/>
                <w:sz w:val="20"/>
                <w:lang w:eastAsia="en-AU"/>
              </w:rPr>
              <w:t xml:space="preserve"> principles (cl. 3.5.b)</w:t>
            </w:r>
          </w:p>
        </w:tc>
        <w:tc>
          <w:tcPr>
            <w:tcW w:w="2728" w:type="dxa"/>
            <w:hideMark/>
          </w:tcPr>
          <w:p w14:paraId="34A3BD77"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 xml:space="preserve">Footpaths provided to provide pedestrian links. </w:t>
            </w:r>
          </w:p>
        </w:tc>
        <w:tc>
          <w:tcPr>
            <w:tcW w:w="2650" w:type="dxa"/>
            <w:hideMark/>
          </w:tcPr>
          <w:p w14:paraId="08A84B7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r>
              <w:rPr>
                <w:rFonts w:eastAsia="Times New Roman"/>
                <w:sz w:val="20"/>
                <w:lang w:eastAsia="en-AU"/>
              </w:rPr>
              <w:t xml:space="preserve">. The original assessment noted a lack of opportunity for pedestrian access to the school from road 11a which is not included in the proposed subdivision. A review of the approved school indicates that pedestrian access at this location would be undesirable as access controls to the site are </w:t>
            </w:r>
            <w:r>
              <w:rPr>
                <w:rFonts w:eastAsia="Times New Roman"/>
                <w:sz w:val="20"/>
                <w:lang w:eastAsia="en-AU"/>
              </w:rPr>
              <w:lastRenderedPageBreak/>
              <w:t>oriented east and north of the school.</w:t>
            </w:r>
          </w:p>
        </w:tc>
      </w:tr>
      <w:tr w:rsidR="004F6ACD" w:rsidRPr="00567DA3" w14:paraId="6D02CD62"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1C3F7F61" w14:textId="77777777" w:rsidR="004F6ACD" w:rsidRPr="00567DA3" w:rsidRDefault="004F6ACD" w:rsidP="006578FC">
            <w:pPr>
              <w:rPr>
                <w:rFonts w:eastAsia="Times New Roman"/>
                <w:sz w:val="20"/>
                <w:lang w:eastAsia="en-AU"/>
              </w:rPr>
            </w:pPr>
            <w:r w:rsidRPr="00567DA3">
              <w:rPr>
                <w:rFonts w:eastAsia="Times New Roman"/>
                <w:sz w:val="20"/>
                <w:lang w:eastAsia="en-AU"/>
              </w:rPr>
              <w:lastRenderedPageBreak/>
              <w:t>Shared pedestrian/cycleways are to be provided in all new residential estates as identified in the Transport Report (cl. 3.5.d)</w:t>
            </w:r>
          </w:p>
        </w:tc>
        <w:tc>
          <w:tcPr>
            <w:tcW w:w="2728" w:type="dxa"/>
            <w:hideMark/>
          </w:tcPr>
          <w:p w14:paraId="4B0661E3"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4EE61D67"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2BA379E1"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1F8E280F" w14:textId="77777777" w:rsidR="004F6ACD" w:rsidRPr="00567DA3" w:rsidRDefault="004F6ACD" w:rsidP="006578FC">
            <w:pPr>
              <w:rPr>
                <w:rFonts w:eastAsia="Times New Roman"/>
                <w:b/>
                <w:sz w:val="20"/>
                <w:lang w:eastAsia="en-AU"/>
              </w:rPr>
            </w:pPr>
            <w:r w:rsidRPr="00567DA3">
              <w:rPr>
                <w:rFonts w:eastAsia="Times New Roman"/>
                <w:b/>
                <w:sz w:val="20"/>
                <w:lang w:eastAsia="en-AU"/>
              </w:rPr>
              <w:t>3.6 Street Trees and Landscaping</w:t>
            </w:r>
          </w:p>
        </w:tc>
      </w:tr>
      <w:tr w:rsidR="004F6ACD" w:rsidRPr="00567DA3" w14:paraId="36953E05"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39876995" w14:textId="77777777" w:rsidR="004F6ACD" w:rsidRPr="00567DA3" w:rsidRDefault="004F6ACD" w:rsidP="006578FC">
            <w:pPr>
              <w:rPr>
                <w:rFonts w:eastAsia="Times New Roman"/>
                <w:sz w:val="20"/>
                <w:lang w:eastAsia="en-AU"/>
              </w:rPr>
            </w:pPr>
            <w:r w:rsidRPr="00567DA3">
              <w:rPr>
                <w:rFonts w:eastAsia="Times New Roman"/>
                <w:sz w:val="20"/>
                <w:lang w:eastAsia="en-AU"/>
              </w:rPr>
              <w:t>Subdivisions are to incorporate street trees at a minimum rate of 1 semi-advanced tree per 15m frontage (cl.3.</w:t>
            </w:r>
            <w:proofErr w:type="gramStart"/>
            <w:r w:rsidRPr="00567DA3">
              <w:rPr>
                <w:rFonts w:eastAsia="Times New Roman"/>
                <w:sz w:val="20"/>
                <w:lang w:eastAsia="en-AU"/>
              </w:rPr>
              <w:t>6.a</w:t>
            </w:r>
            <w:proofErr w:type="gramEnd"/>
            <w:r w:rsidRPr="00567DA3">
              <w:rPr>
                <w:rFonts w:eastAsia="Times New Roman"/>
                <w:sz w:val="20"/>
                <w:lang w:eastAsia="en-AU"/>
              </w:rPr>
              <w:t>)</w:t>
            </w:r>
          </w:p>
        </w:tc>
        <w:tc>
          <w:tcPr>
            <w:tcW w:w="2728" w:type="dxa"/>
            <w:hideMark/>
          </w:tcPr>
          <w:p w14:paraId="1AEA3F7D"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2792676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r>
              <w:rPr>
                <w:rFonts w:eastAsia="Times New Roman"/>
                <w:sz w:val="20"/>
                <w:lang w:eastAsia="en-AU"/>
              </w:rPr>
              <w:t xml:space="preserve">.  </w:t>
            </w:r>
          </w:p>
        </w:tc>
      </w:tr>
      <w:tr w:rsidR="004F6ACD" w:rsidRPr="00567DA3" w14:paraId="69E37A4E"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167925BA" w14:textId="77777777" w:rsidR="004F6ACD" w:rsidRPr="00567DA3" w:rsidRDefault="004F6ACD" w:rsidP="006578FC">
            <w:pPr>
              <w:rPr>
                <w:rFonts w:eastAsia="Times New Roman"/>
                <w:sz w:val="20"/>
                <w:lang w:eastAsia="en-AU"/>
              </w:rPr>
            </w:pPr>
            <w:r w:rsidRPr="00567DA3">
              <w:rPr>
                <w:rFonts w:eastAsia="Times New Roman"/>
                <w:sz w:val="20"/>
                <w:lang w:eastAsia="en-AU"/>
              </w:rPr>
              <w:t>A street tree planting plan is to be included as part of the Landscape Assessment and Design Report (cl.3.</w:t>
            </w:r>
            <w:proofErr w:type="gramStart"/>
            <w:r w:rsidRPr="00567DA3">
              <w:rPr>
                <w:rFonts w:eastAsia="Times New Roman"/>
                <w:sz w:val="20"/>
                <w:lang w:eastAsia="en-AU"/>
              </w:rPr>
              <w:t>6.b</w:t>
            </w:r>
            <w:proofErr w:type="gramEnd"/>
            <w:r w:rsidRPr="00567DA3">
              <w:rPr>
                <w:rFonts w:eastAsia="Times New Roman"/>
                <w:sz w:val="20"/>
                <w:lang w:eastAsia="en-AU"/>
              </w:rPr>
              <w:t>)</w:t>
            </w:r>
          </w:p>
        </w:tc>
        <w:tc>
          <w:tcPr>
            <w:tcW w:w="2728" w:type="dxa"/>
            <w:hideMark/>
          </w:tcPr>
          <w:p w14:paraId="40A9173A"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31ECF0ED"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r>
              <w:rPr>
                <w:rFonts w:eastAsia="Times New Roman"/>
                <w:sz w:val="20"/>
                <w:lang w:eastAsia="en-AU"/>
              </w:rPr>
              <w:t xml:space="preserve"> – requires updating which may be addressed via conditions of consent.</w:t>
            </w:r>
          </w:p>
        </w:tc>
      </w:tr>
      <w:tr w:rsidR="004F6ACD" w:rsidRPr="00567DA3" w14:paraId="3348CEF5"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56D7E3BE" w14:textId="77777777" w:rsidR="004F6ACD" w:rsidRPr="00567DA3" w:rsidRDefault="004F6ACD" w:rsidP="006578FC">
            <w:pPr>
              <w:rPr>
                <w:rFonts w:eastAsia="Times New Roman"/>
                <w:b/>
                <w:sz w:val="20"/>
                <w:lang w:eastAsia="en-AU"/>
              </w:rPr>
            </w:pPr>
            <w:r w:rsidRPr="00567DA3">
              <w:rPr>
                <w:rFonts w:eastAsia="Times New Roman"/>
                <w:b/>
                <w:sz w:val="20"/>
                <w:lang w:eastAsia="en-AU"/>
              </w:rPr>
              <w:t>3.8 Heritage</w:t>
            </w:r>
          </w:p>
        </w:tc>
      </w:tr>
      <w:tr w:rsidR="004F6ACD" w:rsidRPr="00567DA3" w14:paraId="6CD23C37"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0B386C2B" w14:textId="77777777" w:rsidR="004F6ACD" w:rsidRPr="00567DA3" w:rsidRDefault="004F6ACD" w:rsidP="006578FC">
            <w:pPr>
              <w:rPr>
                <w:rFonts w:eastAsia="Times New Roman"/>
                <w:sz w:val="20"/>
                <w:lang w:eastAsia="en-AU"/>
              </w:rPr>
            </w:pPr>
            <w:r w:rsidRPr="00567DA3">
              <w:rPr>
                <w:rFonts w:eastAsia="Times New Roman"/>
                <w:sz w:val="20"/>
                <w:lang w:eastAsia="en-AU"/>
              </w:rPr>
              <w:t>Provide details of any identified heritage item or aboriginal site and proposed treatment (cl. 3.8.a)</w:t>
            </w:r>
          </w:p>
        </w:tc>
        <w:tc>
          <w:tcPr>
            <w:tcW w:w="2728" w:type="dxa"/>
          </w:tcPr>
          <w:p w14:paraId="0E9A54F6"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NA</w:t>
            </w:r>
          </w:p>
        </w:tc>
        <w:tc>
          <w:tcPr>
            <w:tcW w:w="2650" w:type="dxa"/>
            <w:hideMark/>
          </w:tcPr>
          <w:p w14:paraId="51BA22B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N/A</w:t>
            </w:r>
          </w:p>
        </w:tc>
      </w:tr>
      <w:tr w:rsidR="004F6ACD" w:rsidRPr="00567DA3" w14:paraId="7F46597A"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585CE83D" w14:textId="77777777" w:rsidR="004F6ACD" w:rsidRPr="00567DA3" w:rsidRDefault="004F6ACD" w:rsidP="006578FC">
            <w:pPr>
              <w:rPr>
                <w:rFonts w:eastAsia="Times New Roman"/>
                <w:b/>
                <w:sz w:val="20"/>
                <w:lang w:eastAsia="en-AU"/>
              </w:rPr>
            </w:pPr>
            <w:r w:rsidRPr="00567DA3">
              <w:rPr>
                <w:rFonts w:eastAsia="Times New Roman"/>
                <w:b/>
                <w:sz w:val="20"/>
                <w:lang w:eastAsia="en-AU"/>
              </w:rPr>
              <w:t>3.9 Vegetation Management, Threatened Species and Urban Interface</w:t>
            </w:r>
          </w:p>
        </w:tc>
      </w:tr>
      <w:tr w:rsidR="004F6ACD" w:rsidRPr="00567DA3" w14:paraId="26C5046B"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48E39E0C" w14:textId="77777777" w:rsidR="004F6ACD" w:rsidRPr="00567DA3" w:rsidRDefault="004F6ACD" w:rsidP="006578FC">
            <w:pPr>
              <w:rPr>
                <w:rFonts w:eastAsia="Times New Roman"/>
                <w:sz w:val="20"/>
                <w:lang w:eastAsia="en-AU"/>
              </w:rPr>
            </w:pPr>
            <w:r w:rsidRPr="00567DA3">
              <w:rPr>
                <w:rFonts w:eastAsia="Times New Roman"/>
                <w:sz w:val="20"/>
                <w:lang w:eastAsia="en-AU"/>
              </w:rPr>
              <w:t>To clear land an ecological assessment and management plan is likely to be required which includes Threatened Species Assessment (cl.3.9.1.c)</w:t>
            </w:r>
          </w:p>
        </w:tc>
        <w:tc>
          <w:tcPr>
            <w:tcW w:w="2728" w:type="dxa"/>
            <w:hideMark/>
          </w:tcPr>
          <w:p w14:paraId="5F330E98"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 xml:space="preserve">Council’s ecologist raised no concerns to the removal of the vegetation </w:t>
            </w:r>
          </w:p>
        </w:tc>
        <w:tc>
          <w:tcPr>
            <w:tcW w:w="2650" w:type="dxa"/>
            <w:hideMark/>
          </w:tcPr>
          <w:p w14:paraId="44C3CE10"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4ED28E0A"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6F475715"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Subdivision should be designed appropriately to so as not to </w:t>
            </w:r>
            <w:proofErr w:type="gramStart"/>
            <w:r w:rsidRPr="00567DA3">
              <w:rPr>
                <w:rFonts w:eastAsia="Times New Roman"/>
                <w:sz w:val="20"/>
                <w:lang w:eastAsia="en-AU"/>
              </w:rPr>
              <w:t>effect</w:t>
            </w:r>
            <w:proofErr w:type="gramEnd"/>
            <w:r w:rsidRPr="00567DA3">
              <w:rPr>
                <w:rFonts w:eastAsia="Times New Roman"/>
                <w:sz w:val="20"/>
                <w:lang w:eastAsia="en-AU"/>
              </w:rPr>
              <w:t xml:space="preserve"> any threatened species of ecological communities on site or adjoining land (cl. 3.9.2.b)</w:t>
            </w:r>
          </w:p>
        </w:tc>
        <w:tc>
          <w:tcPr>
            <w:tcW w:w="2728" w:type="dxa"/>
            <w:hideMark/>
          </w:tcPr>
          <w:p w14:paraId="1EE4B525"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See above</w:t>
            </w:r>
          </w:p>
        </w:tc>
        <w:tc>
          <w:tcPr>
            <w:tcW w:w="2650" w:type="dxa"/>
            <w:hideMark/>
          </w:tcPr>
          <w:p w14:paraId="4706114D"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3F4117DC"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7E9FF204"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An urban interface required on land that contains or adjoins significant vegetation (cl. 3.9.3.a) </w:t>
            </w:r>
          </w:p>
        </w:tc>
        <w:tc>
          <w:tcPr>
            <w:tcW w:w="2728" w:type="dxa"/>
            <w:hideMark/>
          </w:tcPr>
          <w:p w14:paraId="5914823B"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See above</w:t>
            </w:r>
          </w:p>
        </w:tc>
        <w:tc>
          <w:tcPr>
            <w:tcW w:w="2650" w:type="dxa"/>
            <w:hideMark/>
          </w:tcPr>
          <w:p w14:paraId="02D4F82A"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261C7DD9"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3F3D1A08" w14:textId="77777777" w:rsidR="004F6ACD" w:rsidRPr="00567DA3" w:rsidRDefault="004F6ACD" w:rsidP="006578FC">
            <w:pPr>
              <w:rPr>
                <w:rFonts w:eastAsia="Times New Roman"/>
                <w:sz w:val="20"/>
                <w:lang w:eastAsia="en-AU"/>
              </w:rPr>
            </w:pPr>
            <w:r w:rsidRPr="00567DA3">
              <w:rPr>
                <w:rFonts w:eastAsia="Times New Roman"/>
                <w:b/>
                <w:sz w:val="20"/>
                <w:lang w:eastAsia="en-AU"/>
              </w:rPr>
              <w:t>3.10 Community Safety and Security</w:t>
            </w:r>
          </w:p>
        </w:tc>
      </w:tr>
      <w:tr w:rsidR="004F6ACD" w:rsidRPr="00567DA3" w14:paraId="046C8935"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E14B89D" w14:textId="77777777" w:rsidR="004F6ACD" w:rsidRPr="00567DA3" w:rsidRDefault="004F6ACD" w:rsidP="006578FC">
            <w:pPr>
              <w:rPr>
                <w:rFonts w:eastAsia="Times New Roman"/>
                <w:sz w:val="20"/>
                <w:lang w:eastAsia="en-AU"/>
              </w:rPr>
            </w:pPr>
            <w:r w:rsidRPr="00567DA3">
              <w:rPr>
                <w:rFonts w:eastAsia="Times New Roman"/>
                <w:sz w:val="20"/>
                <w:lang w:eastAsia="en-AU"/>
              </w:rPr>
              <w:t>Street design is to limit vehicular speed (cl.3.</w:t>
            </w:r>
            <w:proofErr w:type="gramStart"/>
            <w:r w:rsidRPr="00567DA3">
              <w:rPr>
                <w:rFonts w:eastAsia="Times New Roman"/>
                <w:sz w:val="20"/>
                <w:lang w:eastAsia="en-AU"/>
              </w:rPr>
              <w:t>10.a</w:t>
            </w:r>
            <w:proofErr w:type="gramEnd"/>
            <w:r w:rsidRPr="00567DA3">
              <w:rPr>
                <w:rFonts w:eastAsia="Times New Roman"/>
                <w:sz w:val="20"/>
                <w:lang w:eastAsia="en-AU"/>
              </w:rPr>
              <w:t>)</w:t>
            </w:r>
          </w:p>
        </w:tc>
        <w:tc>
          <w:tcPr>
            <w:tcW w:w="2728" w:type="dxa"/>
            <w:hideMark/>
          </w:tcPr>
          <w:p w14:paraId="6BFB1D26"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To be conditioned as part of the consent</w:t>
            </w:r>
          </w:p>
        </w:tc>
        <w:tc>
          <w:tcPr>
            <w:tcW w:w="2650" w:type="dxa"/>
            <w:hideMark/>
          </w:tcPr>
          <w:p w14:paraId="1B9A2AE6"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7DF3DCF8"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52D86CF3" w14:textId="77777777" w:rsidR="004F6ACD" w:rsidRPr="00567DA3" w:rsidRDefault="004F6ACD" w:rsidP="006578FC">
            <w:pPr>
              <w:rPr>
                <w:rFonts w:eastAsia="Times New Roman"/>
                <w:sz w:val="20"/>
                <w:lang w:eastAsia="en-AU"/>
              </w:rPr>
            </w:pPr>
            <w:r w:rsidRPr="00567DA3">
              <w:rPr>
                <w:rFonts w:eastAsia="Times New Roman"/>
                <w:sz w:val="20"/>
                <w:lang w:eastAsia="en-AU"/>
              </w:rPr>
              <w:t>Lot design must enable appropriate surveillance while protecting privacy of residents (cl.3.</w:t>
            </w:r>
            <w:proofErr w:type="gramStart"/>
            <w:r w:rsidRPr="00567DA3">
              <w:rPr>
                <w:rFonts w:eastAsia="Times New Roman"/>
                <w:sz w:val="20"/>
                <w:lang w:eastAsia="en-AU"/>
              </w:rPr>
              <w:t>10.b</w:t>
            </w:r>
            <w:proofErr w:type="gramEnd"/>
            <w:r w:rsidRPr="00567DA3">
              <w:rPr>
                <w:rFonts w:eastAsia="Times New Roman"/>
                <w:sz w:val="20"/>
                <w:lang w:eastAsia="en-AU"/>
              </w:rPr>
              <w:t>)</w:t>
            </w:r>
          </w:p>
        </w:tc>
        <w:tc>
          <w:tcPr>
            <w:tcW w:w="2728" w:type="dxa"/>
            <w:hideMark/>
          </w:tcPr>
          <w:p w14:paraId="53D8970B"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372768FF"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37006E5F"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0F710A3C" w14:textId="77777777" w:rsidR="004F6ACD" w:rsidRPr="00567DA3" w:rsidRDefault="004F6ACD" w:rsidP="006578FC">
            <w:pPr>
              <w:rPr>
                <w:rFonts w:eastAsia="Times New Roman"/>
                <w:sz w:val="20"/>
                <w:lang w:eastAsia="en-AU"/>
              </w:rPr>
            </w:pPr>
            <w:r w:rsidRPr="00567DA3">
              <w:rPr>
                <w:rFonts w:eastAsia="Times New Roman"/>
                <w:sz w:val="20"/>
                <w:lang w:eastAsia="en-AU"/>
              </w:rPr>
              <w:t>Sight lines are to be preserved at all intersections (cl.3.</w:t>
            </w:r>
            <w:proofErr w:type="gramStart"/>
            <w:r w:rsidRPr="00567DA3">
              <w:rPr>
                <w:rFonts w:eastAsia="Times New Roman"/>
                <w:sz w:val="20"/>
                <w:lang w:eastAsia="en-AU"/>
              </w:rPr>
              <w:t>10.d</w:t>
            </w:r>
            <w:proofErr w:type="gramEnd"/>
            <w:r w:rsidRPr="00567DA3">
              <w:rPr>
                <w:rFonts w:eastAsia="Times New Roman"/>
                <w:sz w:val="20"/>
                <w:lang w:eastAsia="en-AU"/>
              </w:rPr>
              <w:t>)</w:t>
            </w:r>
          </w:p>
        </w:tc>
        <w:tc>
          <w:tcPr>
            <w:tcW w:w="2728" w:type="dxa"/>
            <w:hideMark/>
          </w:tcPr>
          <w:p w14:paraId="7EA26840"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378651E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24A7E412"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697047C" w14:textId="77777777" w:rsidR="004F6ACD" w:rsidRPr="00567DA3" w:rsidRDefault="004F6ACD" w:rsidP="006578FC">
            <w:pPr>
              <w:rPr>
                <w:rFonts w:eastAsia="Times New Roman"/>
                <w:sz w:val="20"/>
                <w:lang w:eastAsia="en-AU"/>
              </w:rPr>
            </w:pPr>
            <w:r w:rsidRPr="00567DA3">
              <w:rPr>
                <w:rFonts w:eastAsia="Times New Roman"/>
                <w:sz w:val="20"/>
                <w:lang w:eastAsia="en-AU"/>
              </w:rPr>
              <w:t>Lighting shall be provided to satisfy the relevant Australian Standard (cl.3.</w:t>
            </w:r>
            <w:proofErr w:type="gramStart"/>
            <w:r w:rsidRPr="00567DA3">
              <w:rPr>
                <w:rFonts w:eastAsia="Times New Roman"/>
                <w:sz w:val="20"/>
                <w:lang w:eastAsia="en-AU"/>
              </w:rPr>
              <w:t>10.e</w:t>
            </w:r>
            <w:proofErr w:type="gramEnd"/>
            <w:r w:rsidRPr="00567DA3">
              <w:rPr>
                <w:rFonts w:eastAsia="Times New Roman"/>
                <w:sz w:val="20"/>
                <w:lang w:eastAsia="en-AU"/>
              </w:rPr>
              <w:t>)</w:t>
            </w:r>
          </w:p>
        </w:tc>
        <w:tc>
          <w:tcPr>
            <w:tcW w:w="2728" w:type="dxa"/>
            <w:hideMark/>
          </w:tcPr>
          <w:p w14:paraId="0A93D7F3"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To be conditioned as part of the consent</w:t>
            </w:r>
          </w:p>
        </w:tc>
        <w:tc>
          <w:tcPr>
            <w:tcW w:w="2650" w:type="dxa"/>
            <w:hideMark/>
          </w:tcPr>
          <w:p w14:paraId="64D0430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117F0B27"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57E5446E" w14:textId="77777777" w:rsidR="004F6ACD" w:rsidRPr="00567DA3" w:rsidRDefault="004F6ACD" w:rsidP="006578FC">
            <w:pPr>
              <w:rPr>
                <w:rFonts w:eastAsia="Times New Roman"/>
                <w:b/>
                <w:sz w:val="20"/>
                <w:lang w:eastAsia="en-AU"/>
              </w:rPr>
            </w:pPr>
            <w:r w:rsidRPr="00567DA3">
              <w:rPr>
                <w:rFonts w:eastAsia="Times New Roman"/>
                <w:b/>
                <w:sz w:val="20"/>
                <w:lang w:eastAsia="en-AU"/>
              </w:rPr>
              <w:t>4.0 Residential Subdivision</w:t>
            </w:r>
          </w:p>
        </w:tc>
      </w:tr>
      <w:tr w:rsidR="004F6ACD" w:rsidRPr="00567DA3" w14:paraId="6EB609DC"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51DB8CD1" w14:textId="77777777" w:rsidR="004F6ACD" w:rsidRPr="00567DA3" w:rsidRDefault="004F6ACD" w:rsidP="006578FC">
            <w:pPr>
              <w:rPr>
                <w:rFonts w:eastAsia="Times New Roman"/>
                <w:sz w:val="20"/>
                <w:lang w:eastAsia="en-AU"/>
              </w:rPr>
            </w:pPr>
            <w:r w:rsidRPr="00567DA3">
              <w:rPr>
                <w:rFonts w:eastAsia="Times New Roman"/>
                <w:b/>
                <w:sz w:val="20"/>
                <w:lang w:eastAsia="en-AU"/>
              </w:rPr>
              <w:t>4.1.2 Corner Lots</w:t>
            </w:r>
          </w:p>
        </w:tc>
      </w:tr>
      <w:tr w:rsidR="004F6ACD" w:rsidRPr="00567DA3" w14:paraId="0695073F"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58A53841" w14:textId="77777777" w:rsidR="004F6ACD" w:rsidRPr="00567DA3" w:rsidRDefault="004F6ACD" w:rsidP="006578FC">
            <w:pPr>
              <w:rPr>
                <w:rFonts w:eastAsia="Times New Roman"/>
                <w:sz w:val="20"/>
                <w:lang w:eastAsia="en-AU"/>
              </w:rPr>
            </w:pPr>
            <w:r w:rsidRPr="00567DA3">
              <w:rPr>
                <w:rFonts w:eastAsia="Times New Roman"/>
                <w:sz w:val="20"/>
                <w:lang w:eastAsia="en-AU"/>
              </w:rPr>
              <w:lastRenderedPageBreak/>
              <w:t>Corner lots to have a minimum of 700m</w:t>
            </w:r>
            <w:r w:rsidRPr="00567DA3">
              <w:rPr>
                <w:rFonts w:eastAsia="Times New Roman"/>
                <w:sz w:val="20"/>
                <w:vertAlign w:val="superscript"/>
                <w:lang w:eastAsia="en-AU"/>
              </w:rPr>
              <w:t>2</w:t>
            </w:r>
            <w:r w:rsidRPr="00567DA3">
              <w:rPr>
                <w:rFonts w:eastAsia="Times New Roman"/>
                <w:sz w:val="20"/>
                <w:lang w:eastAsia="en-AU"/>
              </w:rPr>
              <w:t xml:space="preserve"> (cl.4.1.</w:t>
            </w:r>
            <w:proofErr w:type="gramStart"/>
            <w:r w:rsidRPr="00567DA3">
              <w:rPr>
                <w:rFonts w:eastAsia="Times New Roman"/>
                <w:sz w:val="20"/>
                <w:lang w:eastAsia="en-AU"/>
              </w:rPr>
              <w:t>2.a</w:t>
            </w:r>
            <w:proofErr w:type="gramEnd"/>
            <w:r w:rsidRPr="00567DA3">
              <w:rPr>
                <w:rFonts w:eastAsia="Times New Roman"/>
                <w:sz w:val="20"/>
                <w:lang w:eastAsia="en-AU"/>
              </w:rPr>
              <w:t>)</w:t>
            </w:r>
          </w:p>
        </w:tc>
        <w:tc>
          <w:tcPr>
            <w:tcW w:w="2728" w:type="dxa"/>
          </w:tcPr>
          <w:p w14:paraId="556BEEDA"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All lots &lt;700m2</w:t>
            </w:r>
          </w:p>
        </w:tc>
        <w:tc>
          <w:tcPr>
            <w:tcW w:w="2650" w:type="dxa"/>
            <w:hideMark/>
          </w:tcPr>
          <w:p w14:paraId="28B707D9"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Yes, Chapter 5.5 and </w:t>
            </w:r>
            <w:proofErr w:type="spellStart"/>
            <w:r>
              <w:rPr>
                <w:rFonts w:eastAsia="Times New Roman"/>
                <w:sz w:val="20"/>
                <w:lang w:eastAsia="en-AU"/>
              </w:rPr>
              <w:t>WLEP</w:t>
            </w:r>
            <w:proofErr w:type="spellEnd"/>
            <w:r>
              <w:rPr>
                <w:rFonts w:eastAsia="Times New Roman"/>
                <w:sz w:val="20"/>
                <w:lang w:eastAsia="en-AU"/>
              </w:rPr>
              <w:t xml:space="preserve"> do not provide min lot size</w:t>
            </w:r>
          </w:p>
          <w:p w14:paraId="10B4E3D4" w14:textId="77777777" w:rsidR="004F6ACD" w:rsidRPr="005C2F10"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p>
        </w:tc>
      </w:tr>
      <w:tr w:rsidR="004F6ACD" w:rsidRPr="00567DA3" w14:paraId="2032368A"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1E43BD74" w14:textId="77777777" w:rsidR="004F6ACD" w:rsidRPr="00567DA3" w:rsidRDefault="004F6ACD" w:rsidP="006578FC">
            <w:pPr>
              <w:rPr>
                <w:rFonts w:eastAsia="Times New Roman"/>
                <w:sz w:val="20"/>
                <w:lang w:eastAsia="en-AU"/>
              </w:rPr>
            </w:pPr>
            <w:r w:rsidRPr="00567DA3">
              <w:rPr>
                <w:rFonts w:eastAsia="Times New Roman"/>
                <w:sz w:val="20"/>
                <w:lang w:eastAsia="en-AU"/>
              </w:rPr>
              <w:t>5m x 5m corner boundary splay to improve sight distance (cl.4.1.2.c)</w:t>
            </w:r>
          </w:p>
        </w:tc>
        <w:tc>
          <w:tcPr>
            <w:tcW w:w="2728" w:type="dxa"/>
            <w:hideMark/>
          </w:tcPr>
          <w:p w14:paraId="27C7BC25"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3489A957"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6B9E4093"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41630DFF" w14:textId="77777777" w:rsidR="004F6ACD" w:rsidRPr="00567DA3" w:rsidRDefault="004F6ACD" w:rsidP="006578FC">
            <w:pPr>
              <w:rPr>
                <w:rFonts w:eastAsia="Times New Roman"/>
                <w:sz w:val="20"/>
                <w:lang w:eastAsia="en-AU"/>
              </w:rPr>
            </w:pPr>
            <w:r w:rsidRPr="00567DA3">
              <w:rPr>
                <w:rFonts w:eastAsia="Times New Roman"/>
                <w:sz w:val="20"/>
                <w:lang w:eastAsia="en-AU"/>
              </w:rPr>
              <w:t>Driveways to be setback a minimum 6m from the tangent point on the kerb return (cl.4.1.</w:t>
            </w:r>
            <w:proofErr w:type="gramStart"/>
            <w:r w:rsidRPr="00567DA3">
              <w:rPr>
                <w:rFonts w:eastAsia="Times New Roman"/>
                <w:sz w:val="20"/>
                <w:lang w:eastAsia="en-AU"/>
              </w:rPr>
              <w:t>2.d</w:t>
            </w:r>
            <w:proofErr w:type="gramEnd"/>
            <w:r w:rsidRPr="00567DA3">
              <w:rPr>
                <w:rFonts w:eastAsia="Times New Roman"/>
                <w:sz w:val="20"/>
                <w:lang w:eastAsia="en-AU"/>
              </w:rPr>
              <w:t>)</w:t>
            </w:r>
          </w:p>
        </w:tc>
        <w:tc>
          <w:tcPr>
            <w:tcW w:w="2728" w:type="dxa"/>
            <w:hideMark/>
          </w:tcPr>
          <w:p w14:paraId="101CBC8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Provided</w:t>
            </w:r>
          </w:p>
        </w:tc>
        <w:tc>
          <w:tcPr>
            <w:tcW w:w="2650" w:type="dxa"/>
            <w:hideMark/>
          </w:tcPr>
          <w:p w14:paraId="3978D55E"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 – corner lots have been amended to provide additional frontage.</w:t>
            </w:r>
          </w:p>
        </w:tc>
      </w:tr>
      <w:tr w:rsidR="004F6ACD" w:rsidRPr="00567DA3" w14:paraId="47F86454"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312047E8" w14:textId="77777777" w:rsidR="004F6ACD" w:rsidRPr="00567DA3" w:rsidRDefault="004F6ACD" w:rsidP="006578FC">
            <w:pPr>
              <w:rPr>
                <w:rFonts w:eastAsia="Times New Roman"/>
                <w:sz w:val="20"/>
                <w:lang w:eastAsia="en-AU"/>
              </w:rPr>
            </w:pPr>
            <w:r w:rsidRPr="00567DA3">
              <w:rPr>
                <w:rFonts w:eastAsia="Times New Roman"/>
                <w:sz w:val="20"/>
                <w:lang w:eastAsia="en-AU"/>
              </w:rPr>
              <w:t>Driveways for lots adjacent to roundabouts or channelled intersections are to be clear of islands and pavement marking. Alternate access or right of carriageway from another street may be required (cl.4.1.</w:t>
            </w:r>
            <w:proofErr w:type="gramStart"/>
            <w:r w:rsidRPr="00567DA3">
              <w:rPr>
                <w:rFonts w:eastAsia="Times New Roman"/>
                <w:sz w:val="20"/>
                <w:lang w:eastAsia="en-AU"/>
              </w:rPr>
              <w:t>2.f</w:t>
            </w:r>
            <w:proofErr w:type="gramEnd"/>
            <w:r w:rsidRPr="00567DA3">
              <w:rPr>
                <w:rFonts w:eastAsia="Times New Roman"/>
                <w:sz w:val="20"/>
                <w:lang w:eastAsia="en-AU"/>
              </w:rPr>
              <w:t>)</w:t>
            </w:r>
          </w:p>
        </w:tc>
        <w:tc>
          <w:tcPr>
            <w:tcW w:w="2728" w:type="dxa"/>
          </w:tcPr>
          <w:p w14:paraId="3E73568A"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NA</w:t>
            </w:r>
          </w:p>
        </w:tc>
        <w:tc>
          <w:tcPr>
            <w:tcW w:w="2650" w:type="dxa"/>
            <w:hideMark/>
          </w:tcPr>
          <w:p w14:paraId="69CBBC01"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NA</w:t>
            </w:r>
          </w:p>
        </w:tc>
      </w:tr>
      <w:tr w:rsidR="004F6ACD" w:rsidRPr="00567DA3" w14:paraId="3B67F67F"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1F2DCEEC" w14:textId="77777777" w:rsidR="004F6ACD" w:rsidRPr="00567DA3" w:rsidRDefault="004F6ACD" w:rsidP="006578FC">
            <w:pPr>
              <w:rPr>
                <w:rFonts w:eastAsia="Times New Roman"/>
                <w:sz w:val="20"/>
                <w:highlight w:val="yellow"/>
                <w:lang w:eastAsia="en-AU"/>
              </w:rPr>
            </w:pPr>
            <w:r w:rsidRPr="00567DA3">
              <w:rPr>
                <w:rFonts w:eastAsia="Times New Roman"/>
                <w:b/>
                <w:sz w:val="20"/>
                <w:lang w:eastAsia="en-AU"/>
              </w:rPr>
              <w:t>4.1.4.1 Access location restrictions affecting lot layout and design</w:t>
            </w:r>
          </w:p>
        </w:tc>
      </w:tr>
      <w:tr w:rsidR="004F6ACD" w:rsidRPr="00567DA3" w14:paraId="481A6B0F"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1E6839E9"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Access driveways shall not be located over or in the vicinity of pedestrian or school crossings or other traffic management facilities </w:t>
            </w:r>
          </w:p>
        </w:tc>
        <w:tc>
          <w:tcPr>
            <w:tcW w:w="2728" w:type="dxa"/>
            <w:hideMark/>
          </w:tcPr>
          <w:p w14:paraId="1F8255F8"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Provided</w:t>
            </w:r>
          </w:p>
        </w:tc>
        <w:tc>
          <w:tcPr>
            <w:tcW w:w="2650" w:type="dxa"/>
            <w:hideMark/>
          </w:tcPr>
          <w:p w14:paraId="6628D90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sidRPr="00567DA3">
              <w:rPr>
                <w:rFonts w:eastAsia="Times New Roman"/>
                <w:sz w:val="20"/>
                <w:lang w:eastAsia="en-AU"/>
              </w:rPr>
              <w:t>Yes</w:t>
            </w:r>
          </w:p>
        </w:tc>
      </w:tr>
      <w:tr w:rsidR="004F6ACD" w:rsidRPr="00567DA3" w14:paraId="4B45DC24"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3889FAE9"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The street design and lot layout </w:t>
            </w:r>
            <w:proofErr w:type="gramStart"/>
            <w:r w:rsidRPr="00567DA3">
              <w:rPr>
                <w:rFonts w:eastAsia="Times New Roman"/>
                <w:sz w:val="20"/>
                <w:lang w:eastAsia="en-AU"/>
              </w:rPr>
              <w:t>is</w:t>
            </w:r>
            <w:proofErr w:type="gramEnd"/>
            <w:r w:rsidRPr="00567DA3">
              <w:rPr>
                <w:rFonts w:eastAsia="Times New Roman"/>
                <w:sz w:val="20"/>
                <w:lang w:eastAsia="en-AU"/>
              </w:rPr>
              <w:t xml:space="preserve"> to consider the likely location of lot accesses, with regards to the provision of adequate sight distances in accordance with AS/NZS 2890 and the Australian Guidelines Part 5.</w:t>
            </w:r>
          </w:p>
        </w:tc>
        <w:tc>
          <w:tcPr>
            <w:tcW w:w="2728" w:type="dxa"/>
            <w:hideMark/>
          </w:tcPr>
          <w:p w14:paraId="206B9C08"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Provided</w:t>
            </w:r>
          </w:p>
        </w:tc>
        <w:tc>
          <w:tcPr>
            <w:tcW w:w="2650" w:type="dxa"/>
            <w:hideMark/>
          </w:tcPr>
          <w:p w14:paraId="5B4D9B26"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p>
        </w:tc>
      </w:tr>
      <w:tr w:rsidR="004F6ACD" w:rsidRPr="00567DA3" w14:paraId="79B44F3C"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521B3B07" w14:textId="77777777" w:rsidR="004F6ACD" w:rsidRPr="00567DA3" w:rsidRDefault="004F6ACD" w:rsidP="006578FC">
            <w:pPr>
              <w:rPr>
                <w:rFonts w:eastAsia="Times New Roman"/>
                <w:b/>
                <w:sz w:val="20"/>
                <w:lang w:eastAsia="en-AU"/>
              </w:rPr>
            </w:pPr>
            <w:r w:rsidRPr="00567DA3">
              <w:rPr>
                <w:rFonts w:eastAsia="Times New Roman"/>
                <w:b/>
                <w:sz w:val="20"/>
                <w:lang w:eastAsia="en-AU"/>
              </w:rPr>
              <w:t>4.1.5 Small Lot Housing Development</w:t>
            </w:r>
            <w:r>
              <w:rPr>
                <w:rFonts w:eastAsia="Times New Roman"/>
                <w:b/>
                <w:sz w:val="20"/>
                <w:lang w:eastAsia="en-AU"/>
              </w:rPr>
              <w:t xml:space="preserve"> – N/A</w:t>
            </w:r>
          </w:p>
        </w:tc>
      </w:tr>
      <w:tr w:rsidR="004F6ACD" w:rsidRPr="00567DA3" w14:paraId="530505C9"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1550ACE2" w14:textId="77777777" w:rsidR="004F6ACD" w:rsidRPr="00567DA3" w:rsidRDefault="004F6ACD" w:rsidP="006578FC">
            <w:pPr>
              <w:rPr>
                <w:rFonts w:eastAsia="Times New Roman"/>
                <w:b/>
                <w:sz w:val="20"/>
                <w:lang w:eastAsia="en-AU"/>
              </w:rPr>
            </w:pPr>
            <w:bookmarkStart w:id="0" w:name="_Toc296418769"/>
            <w:bookmarkStart w:id="1" w:name="_Toc173200898"/>
            <w:bookmarkStart w:id="2" w:name="_Toc166637556"/>
            <w:bookmarkStart w:id="3" w:name="_Toc166637480"/>
            <w:r w:rsidRPr="00567DA3">
              <w:rPr>
                <w:rFonts w:eastAsia="Times New Roman" w:cs="Times New Roman"/>
                <w:b/>
                <w:sz w:val="20"/>
                <w:lang w:eastAsia="en-AU"/>
              </w:rPr>
              <w:t>4.2</w:t>
            </w:r>
            <w:r w:rsidRPr="00567DA3">
              <w:rPr>
                <w:rFonts w:eastAsia="Times New Roman" w:cs="Times New Roman"/>
                <w:b/>
                <w:sz w:val="20"/>
                <w:lang w:eastAsia="en-AU"/>
              </w:rPr>
              <w:tab/>
              <w:t>Street Orientation and Lot Design for Solar Access</w:t>
            </w:r>
            <w:bookmarkEnd w:id="0"/>
            <w:bookmarkEnd w:id="1"/>
            <w:bookmarkEnd w:id="2"/>
            <w:bookmarkEnd w:id="3"/>
          </w:p>
        </w:tc>
      </w:tr>
      <w:tr w:rsidR="004F6ACD" w:rsidRPr="00567DA3" w14:paraId="1B13893B"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02BBC5E4"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Streets are to be aligned generally east-west and north-south where possible </w:t>
            </w:r>
            <w:r w:rsidRPr="00567DA3">
              <w:rPr>
                <w:rFonts w:eastAsia="Times New Roman" w:cs="Times New Roman"/>
                <w:sz w:val="20"/>
                <w:lang w:eastAsia="en-AU"/>
              </w:rPr>
              <w:t>(cl.4.</w:t>
            </w:r>
            <w:proofErr w:type="gramStart"/>
            <w:r w:rsidRPr="00567DA3">
              <w:rPr>
                <w:rFonts w:eastAsia="Times New Roman" w:cs="Times New Roman"/>
                <w:sz w:val="20"/>
                <w:lang w:eastAsia="en-AU"/>
              </w:rPr>
              <w:t>2.a</w:t>
            </w:r>
            <w:proofErr w:type="gramEnd"/>
            <w:r w:rsidRPr="00567DA3">
              <w:rPr>
                <w:rFonts w:eastAsia="Times New Roman" w:cs="Times New Roman"/>
                <w:sz w:val="20"/>
                <w:lang w:eastAsia="en-AU"/>
              </w:rPr>
              <w:t>)</w:t>
            </w:r>
          </w:p>
        </w:tc>
        <w:tc>
          <w:tcPr>
            <w:tcW w:w="2728" w:type="dxa"/>
          </w:tcPr>
          <w:p w14:paraId="78A37572"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Provided </w:t>
            </w:r>
          </w:p>
        </w:tc>
        <w:tc>
          <w:tcPr>
            <w:tcW w:w="2650" w:type="dxa"/>
            <w:hideMark/>
          </w:tcPr>
          <w:p w14:paraId="31DD8A68"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p>
        </w:tc>
      </w:tr>
      <w:tr w:rsidR="004F6ACD" w:rsidRPr="00567DA3" w14:paraId="1FE6F12E"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578460EB"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Where streets are not orientated N-S and E-W, lots shall be angled to achieve better solar access and achieve maximum exposure to cooling breezes in summer </w:t>
            </w:r>
            <w:r w:rsidRPr="00567DA3">
              <w:rPr>
                <w:rFonts w:eastAsia="Times New Roman" w:cs="Times New Roman"/>
                <w:sz w:val="20"/>
                <w:lang w:eastAsia="en-AU"/>
              </w:rPr>
              <w:t>(cl.4.2.c)</w:t>
            </w:r>
          </w:p>
        </w:tc>
        <w:tc>
          <w:tcPr>
            <w:tcW w:w="2728" w:type="dxa"/>
          </w:tcPr>
          <w:p w14:paraId="0C86F1F6"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Lots are either N-S or E-W in orientation </w:t>
            </w:r>
          </w:p>
        </w:tc>
        <w:tc>
          <w:tcPr>
            <w:tcW w:w="2650" w:type="dxa"/>
            <w:hideMark/>
          </w:tcPr>
          <w:p w14:paraId="2FFD34FF"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p>
        </w:tc>
      </w:tr>
      <w:tr w:rsidR="004F6ACD" w:rsidRPr="00567DA3" w14:paraId="39945F79" w14:textId="77777777" w:rsidTr="006578FC">
        <w:tc>
          <w:tcPr>
            <w:cnfStyle w:val="001000000000" w:firstRow="0" w:lastRow="0" w:firstColumn="1" w:lastColumn="0" w:oddVBand="0" w:evenVBand="0" w:oddHBand="0" w:evenHBand="0" w:firstRowFirstColumn="0" w:firstRowLastColumn="0" w:lastRowFirstColumn="0" w:lastRowLastColumn="0"/>
            <w:tcW w:w="9449" w:type="dxa"/>
            <w:gridSpan w:val="3"/>
            <w:hideMark/>
          </w:tcPr>
          <w:p w14:paraId="79BF43AE" w14:textId="77777777" w:rsidR="004F6ACD" w:rsidRPr="00567DA3" w:rsidRDefault="004F6ACD" w:rsidP="006578FC">
            <w:pPr>
              <w:rPr>
                <w:rFonts w:eastAsia="Times New Roman"/>
                <w:sz w:val="20"/>
                <w:lang w:eastAsia="en-AU"/>
              </w:rPr>
            </w:pPr>
            <w:r w:rsidRPr="00567DA3">
              <w:rPr>
                <w:rFonts w:eastAsia="Times New Roman" w:cs="Times New Roman"/>
                <w:b/>
                <w:sz w:val="20"/>
                <w:lang w:eastAsia="en-AU"/>
              </w:rPr>
              <w:t>4.3</w:t>
            </w:r>
            <w:r w:rsidRPr="00567DA3">
              <w:rPr>
                <w:rFonts w:eastAsia="Times New Roman" w:cs="Times New Roman"/>
                <w:b/>
                <w:sz w:val="20"/>
                <w:lang w:eastAsia="en-AU"/>
              </w:rPr>
              <w:tab/>
              <w:t>Urban Design</w:t>
            </w:r>
          </w:p>
        </w:tc>
      </w:tr>
      <w:tr w:rsidR="004F6ACD" w:rsidRPr="00567DA3" w14:paraId="07215192"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0C1F8924" w14:textId="77777777" w:rsidR="004F6ACD" w:rsidRPr="00567DA3" w:rsidRDefault="004F6ACD" w:rsidP="006578FC">
            <w:pPr>
              <w:rPr>
                <w:rFonts w:eastAsia="Times New Roman"/>
                <w:sz w:val="20"/>
                <w:lang w:eastAsia="en-AU"/>
              </w:rPr>
            </w:pPr>
            <w:r w:rsidRPr="00567DA3">
              <w:rPr>
                <w:rFonts w:eastAsia="Times New Roman"/>
                <w:sz w:val="20"/>
                <w:lang w:eastAsia="en-AU"/>
              </w:rPr>
              <w:t xml:space="preserve">The subdivision shall </w:t>
            </w:r>
            <w:r w:rsidRPr="00567DA3">
              <w:rPr>
                <w:rFonts w:eastAsia="Times New Roman" w:cs="Times New Roman"/>
                <w:sz w:val="20"/>
                <w:lang w:eastAsia="en-AU"/>
              </w:rPr>
              <w:t>demonstrate best practice design in terms of individual elements including lot orientation, streetscape and landscape design (cl.4.</w:t>
            </w:r>
            <w:proofErr w:type="gramStart"/>
            <w:r w:rsidRPr="00567DA3">
              <w:rPr>
                <w:rFonts w:eastAsia="Times New Roman" w:cs="Times New Roman"/>
                <w:sz w:val="20"/>
                <w:lang w:eastAsia="en-AU"/>
              </w:rPr>
              <w:t>3.a</w:t>
            </w:r>
            <w:proofErr w:type="gramEnd"/>
            <w:r w:rsidRPr="00567DA3">
              <w:rPr>
                <w:rFonts w:eastAsia="Times New Roman" w:cs="Times New Roman"/>
                <w:sz w:val="20"/>
                <w:lang w:eastAsia="en-AU"/>
              </w:rPr>
              <w:t>)</w:t>
            </w:r>
          </w:p>
        </w:tc>
        <w:tc>
          <w:tcPr>
            <w:tcW w:w="2728" w:type="dxa"/>
          </w:tcPr>
          <w:p w14:paraId="30DCD7EF"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The subdivision layout provides solar access, a permeable and accessible neighbourhood with a distinct character reinforced by the proposed road hierarchy.</w:t>
            </w:r>
          </w:p>
        </w:tc>
        <w:tc>
          <w:tcPr>
            <w:tcW w:w="2650" w:type="dxa"/>
            <w:hideMark/>
          </w:tcPr>
          <w:p w14:paraId="2354CBF6"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Yes</w:t>
            </w:r>
          </w:p>
        </w:tc>
      </w:tr>
      <w:tr w:rsidR="004F6ACD" w:rsidRPr="00567DA3" w14:paraId="1919BF88" w14:textId="77777777" w:rsidTr="006578FC">
        <w:tc>
          <w:tcPr>
            <w:cnfStyle w:val="001000000000" w:firstRow="0" w:lastRow="0" w:firstColumn="1" w:lastColumn="0" w:oddVBand="0" w:evenVBand="0" w:oddHBand="0" w:evenHBand="0" w:firstRowFirstColumn="0" w:firstRowLastColumn="0" w:lastRowFirstColumn="0" w:lastRowLastColumn="0"/>
            <w:tcW w:w="4071" w:type="dxa"/>
            <w:hideMark/>
          </w:tcPr>
          <w:p w14:paraId="2443002B" w14:textId="77777777" w:rsidR="004F6ACD" w:rsidRPr="00567DA3" w:rsidRDefault="004F6ACD" w:rsidP="006578FC">
            <w:pPr>
              <w:rPr>
                <w:rFonts w:eastAsia="Times New Roman"/>
                <w:sz w:val="20"/>
                <w:lang w:eastAsia="en-AU"/>
              </w:rPr>
            </w:pPr>
            <w:r w:rsidRPr="00567DA3">
              <w:rPr>
                <w:rFonts w:eastAsia="Times New Roman" w:cs="Times New Roman"/>
                <w:sz w:val="20"/>
                <w:lang w:eastAsia="en-AU"/>
              </w:rPr>
              <w:t>In new areas, the design allows for a mix of housing opportunities within a locality (cl.4.</w:t>
            </w:r>
            <w:proofErr w:type="gramStart"/>
            <w:r w:rsidRPr="00567DA3">
              <w:rPr>
                <w:rFonts w:eastAsia="Times New Roman" w:cs="Times New Roman"/>
                <w:sz w:val="20"/>
                <w:lang w:eastAsia="en-AU"/>
              </w:rPr>
              <w:t>3.e</w:t>
            </w:r>
            <w:proofErr w:type="gramEnd"/>
            <w:r w:rsidRPr="00567DA3">
              <w:rPr>
                <w:rFonts w:eastAsia="Times New Roman" w:cs="Times New Roman"/>
                <w:sz w:val="20"/>
                <w:lang w:eastAsia="en-AU"/>
              </w:rPr>
              <w:t>)</w:t>
            </w:r>
          </w:p>
        </w:tc>
        <w:tc>
          <w:tcPr>
            <w:tcW w:w="2728" w:type="dxa"/>
          </w:tcPr>
          <w:p w14:paraId="396A38F4"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All single dwelling house lots proposed within Stage 6b and 7</w:t>
            </w:r>
          </w:p>
        </w:tc>
        <w:tc>
          <w:tcPr>
            <w:tcW w:w="2650" w:type="dxa"/>
            <w:hideMark/>
          </w:tcPr>
          <w:p w14:paraId="3B17BF7C" w14:textId="77777777" w:rsidR="004F6ACD" w:rsidRPr="00567DA3" w:rsidRDefault="004F6ACD" w:rsidP="006578FC">
            <w:pPr>
              <w:cnfStyle w:val="000000000000" w:firstRow="0" w:lastRow="0" w:firstColumn="0" w:lastColumn="0" w:oddVBand="0" w:evenVBand="0" w:oddHBand="0" w:evenHBand="0" w:firstRowFirstColumn="0" w:firstRowLastColumn="0" w:lastRowFirstColumn="0" w:lastRowLastColumn="0"/>
              <w:rPr>
                <w:rFonts w:eastAsia="Times New Roman"/>
                <w:sz w:val="20"/>
                <w:lang w:eastAsia="en-AU"/>
              </w:rPr>
            </w:pPr>
            <w:r>
              <w:rPr>
                <w:rFonts w:eastAsia="Times New Roman"/>
                <w:sz w:val="20"/>
                <w:lang w:eastAsia="en-AU"/>
              </w:rPr>
              <w:t xml:space="preserve">There is a variety of lots sizes and housing opportunities within WTC. Further opportunity exists within residue lots. </w:t>
            </w:r>
          </w:p>
        </w:tc>
      </w:tr>
    </w:tbl>
    <w:p w14:paraId="4C485DBD" w14:textId="77777777" w:rsidR="004F6ACD" w:rsidRDefault="004F6ACD" w:rsidP="004F6ACD">
      <w:proofErr w:type="spellStart"/>
      <w:r w:rsidRPr="00567DA3">
        <w:rPr>
          <w:rFonts w:eastAsia="Times New Roman"/>
          <w:b/>
          <w:bCs/>
          <w:kern w:val="28"/>
          <w:lang w:eastAsia="en-AU"/>
        </w:rPr>
        <w:lastRenderedPageBreak/>
        <w:t>DCP</w:t>
      </w:r>
      <w:proofErr w:type="spellEnd"/>
      <w:r w:rsidRPr="00567DA3">
        <w:rPr>
          <w:rFonts w:eastAsia="Times New Roman"/>
          <w:b/>
          <w:bCs/>
          <w:kern w:val="28"/>
          <w:lang w:eastAsia="en-AU"/>
        </w:rPr>
        <w:t xml:space="preserve"> 2013: Part </w:t>
      </w:r>
      <w:r>
        <w:rPr>
          <w:rFonts w:eastAsia="Times New Roman"/>
          <w:b/>
          <w:bCs/>
          <w:kern w:val="28"/>
          <w:lang w:eastAsia="en-AU"/>
        </w:rPr>
        <w:t>5.5</w:t>
      </w:r>
      <w:r w:rsidRPr="00567DA3">
        <w:rPr>
          <w:rFonts w:eastAsia="Times New Roman"/>
          <w:b/>
          <w:bCs/>
          <w:kern w:val="28"/>
          <w:lang w:eastAsia="en-AU"/>
        </w:rPr>
        <w:t xml:space="preserve"> – </w:t>
      </w:r>
      <w:r>
        <w:rPr>
          <w:rFonts w:eastAsia="Times New Roman"/>
          <w:b/>
          <w:bCs/>
          <w:kern w:val="28"/>
          <w:lang w:eastAsia="en-AU"/>
        </w:rPr>
        <w:t>WTC</w:t>
      </w:r>
      <w:r w:rsidRPr="00567DA3">
        <w:rPr>
          <w:rFonts w:eastAsia="Times New Roman"/>
          <w:b/>
          <w:bCs/>
          <w:kern w:val="28"/>
          <w:lang w:eastAsia="en-AU"/>
        </w:rPr>
        <w:t xml:space="preserve"> compliance tables</w:t>
      </w:r>
    </w:p>
    <w:p w14:paraId="0BD582D3" w14:textId="77777777" w:rsidR="004F6ACD" w:rsidRDefault="004F6ACD" w:rsidP="004F6ACD"/>
    <w:tbl>
      <w:tblPr>
        <w:tblStyle w:val="TableGrid"/>
        <w:tblW w:w="0" w:type="auto"/>
        <w:tblLook w:val="04A0" w:firstRow="1" w:lastRow="0" w:firstColumn="1" w:lastColumn="0" w:noHBand="0" w:noVBand="1"/>
      </w:tblPr>
      <w:tblGrid>
        <w:gridCol w:w="2806"/>
        <w:gridCol w:w="199"/>
        <w:gridCol w:w="2944"/>
        <w:gridCol w:w="61"/>
        <w:gridCol w:w="3006"/>
      </w:tblGrid>
      <w:tr w:rsidR="004F6ACD" w14:paraId="11D1F03B" w14:textId="77777777" w:rsidTr="006578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gridSpan w:val="2"/>
          </w:tcPr>
          <w:p w14:paraId="190897E5"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val="0"/>
                <w:bCs/>
                <w:i/>
                <w:sz w:val="24"/>
                <w:szCs w:val="24"/>
              </w:rPr>
            </w:pPr>
            <w:r>
              <w:rPr>
                <w:b w:val="0"/>
                <w:bCs/>
              </w:rPr>
              <w:t>Requirement</w:t>
            </w:r>
          </w:p>
        </w:tc>
        <w:tc>
          <w:tcPr>
            <w:tcW w:w="3005" w:type="dxa"/>
            <w:gridSpan w:val="2"/>
          </w:tcPr>
          <w:p w14:paraId="79B7EB5A"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100000000000" w:firstRow="1" w:lastRow="0" w:firstColumn="0" w:lastColumn="0" w:oddVBand="0" w:evenVBand="0" w:oddHBand="0" w:evenHBand="0" w:firstRowFirstColumn="0" w:firstRowLastColumn="0" w:lastRowFirstColumn="0" w:lastRowLastColumn="0"/>
              <w:rPr>
                <w:bCs/>
                <w:i/>
                <w:sz w:val="24"/>
                <w:szCs w:val="24"/>
              </w:rPr>
            </w:pPr>
            <w:r>
              <w:rPr>
                <w:b w:val="0"/>
                <w:bCs/>
              </w:rPr>
              <w:t>Proposed</w:t>
            </w:r>
          </w:p>
        </w:tc>
        <w:tc>
          <w:tcPr>
            <w:tcW w:w="3006" w:type="dxa"/>
          </w:tcPr>
          <w:p w14:paraId="1FCCE09F"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100000000000" w:firstRow="1" w:lastRow="0" w:firstColumn="0" w:lastColumn="0" w:oddVBand="0" w:evenVBand="0" w:oddHBand="0" w:evenHBand="0" w:firstRowFirstColumn="0" w:firstRowLastColumn="0" w:lastRowFirstColumn="0" w:lastRowLastColumn="0"/>
              <w:rPr>
                <w:b w:val="0"/>
                <w:bCs/>
                <w:i/>
                <w:sz w:val="24"/>
                <w:szCs w:val="24"/>
              </w:rPr>
            </w:pPr>
            <w:r>
              <w:rPr>
                <w:b w:val="0"/>
                <w:bCs/>
              </w:rPr>
              <w:t>Compliance</w:t>
            </w:r>
          </w:p>
        </w:tc>
      </w:tr>
      <w:tr w:rsidR="004F6ACD" w:rsidRPr="000D4F1E" w14:paraId="33DFC7A6" w14:textId="77777777" w:rsidTr="006578FC">
        <w:tc>
          <w:tcPr>
            <w:cnfStyle w:val="001000000000" w:firstRow="0" w:lastRow="0" w:firstColumn="1" w:lastColumn="0" w:oddVBand="0" w:evenVBand="0" w:oddHBand="0" w:evenHBand="0" w:firstRowFirstColumn="0" w:firstRowLastColumn="0" w:lastRowFirstColumn="0" w:lastRowLastColumn="0"/>
            <w:tcW w:w="9016" w:type="dxa"/>
            <w:gridSpan w:val="5"/>
          </w:tcPr>
          <w:p w14:paraId="3DF9D150" w14:textId="77777777" w:rsidR="004F6ACD" w:rsidRPr="000D4F1E"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i/>
                <w:sz w:val="22"/>
                <w:szCs w:val="22"/>
              </w:rPr>
            </w:pPr>
            <w:r>
              <w:rPr>
                <w:b/>
                <w:bCs/>
                <w:i/>
              </w:rPr>
              <w:t>3.2 Street Hierarchy and Design</w:t>
            </w:r>
          </w:p>
        </w:tc>
      </w:tr>
      <w:tr w:rsidR="004F6ACD" w14:paraId="4D76354F" w14:textId="77777777" w:rsidTr="006578FC">
        <w:tc>
          <w:tcPr>
            <w:cnfStyle w:val="001000000000" w:firstRow="0" w:lastRow="0" w:firstColumn="1" w:lastColumn="0" w:oddVBand="0" w:evenVBand="0" w:oddHBand="0" w:evenHBand="0" w:firstRowFirstColumn="0" w:firstRowLastColumn="0" w:lastRowFirstColumn="0" w:lastRowLastColumn="0"/>
            <w:tcW w:w="2806" w:type="dxa"/>
          </w:tcPr>
          <w:p w14:paraId="2AFB002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The street network is to be provided generally in accordance with the street hierarchy map and street types map. First and second tier streets are required as shown in the maps.</w:t>
            </w:r>
          </w:p>
          <w:p w14:paraId="7A4096C6"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p>
        </w:tc>
        <w:tc>
          <w:tcPr>
            <w:tcW w:w="3143" w:type="dxa"/>
            <w:gridSpan w:val="2"/>
          </w:tcPr>
          <w:p w14:paraId="1AE53141"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The proposed street network is not in accordance with the desired street network. </w:t>
            </w:r>
          </w:p>
          <w:p w14:paraId="659F3FE3" w14:textId="77777777" w:rsidR="004F6ACD" w:rsidRDefault="004F6ACD" w:rsidP="006578FC">
            <w:pPr>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3067" w:type="dxa"/>
            <w:gridSpan w:val="2"/>
          </w:tcPr>
          <w:p w14:paraId="2962C6ED"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No, but </w:t>
            </w:r>
            <w:proofErr w:type="gramStart"/>
            <w:r>
              <w:rPr>
                <w:bCs/>
              </w:rPr>
              <w:t>is considered to be</w:t>
            </w:r>
            <w:proofErr w:type="gramEnd"/>
            <w:r>
              <w:rPr>
                <w:bCs/>
              </w:rPr>
              <w:t xml:space="preserve"> consistent with the desired outcomes and is acceptable. </w:t>
            </w:r>
          </w:p>
        </w:tc>
      </w:tr>
      <w:tr w:rsidR="004F6ACD" w14:paraId="18219473" w14:textId="77777777" w:rsidTr="006578FC">
        <w:tc>
          <w:tcPr>
            <w:cnfStyle w:val="001000000000" w:firstRow="0" w:lastRow="0" w:firstColumn="1" w:lastColumn="0" w:oddVBand="0" w:evenVBand="0" w:oddHBand="0" w:evenHBand="0" w:firstRowFirstColumn="0" w:firstRowLastColumn="0" w:lastRowFirstColumn="0" w:lastRowLastColumn="0"/>
            <w:tcW w:w="2806" w:type="dxa"/>
          </w:tcPr>
          <w:p w14:paraId="4AE7EEEA"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 xml:space="preserve">Street design is to be generally consistent with the cross sections shown in the Chapter and widening of roads may be required at intersections, curves and for utilities. </w:t>
            </w:r>
          </w:p>
          <w:p w14:paraId="3EC57155"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p>
        </w:tc>
        <w:tc>
          <w:tcPr>
            <w:tcW w:w="3143" w:type="dxa"/>
            <w:gridSpan w:val="2"/>
            <w:hideMark/>
          </w:tcPr>
          <w:p w14:paraId="37999A0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The street design is consistent with the cross sections shown in the Chapter </w:t>
            </w:r>
            <w:proofErr w:type="gramStart"/>
            <w:r>
              <w:rPr>
                <w:bCs/>
              </w:rPr>
              <w:t>with the exception of</w:t>
            </w:r>
            <w:proofErr w:type="gramEnd"/>
            <w:r>
              <w:rPr>
                <w:bCs/>
              </w:rPr>
              <w:t xml:space="preserve"> roads 11, 12 and 14 which have a reduced verge width on one side of the road.</w:t>
            </w:r>
          </w:p>
        </w:tc>
        <w:tc>
          <w:tcPr>
            <w:tcW w:w="3067" w:type="dxa"/>
            <w:gridSpan w:val="2"/>
          </w:tcPr>
          <w:p w14:paraId="1AB7CC3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Partly compliant, departure </w:t>
            </w:r>
            <w:proofErr w:type="gramStart"/>
            <w:r>
              <w:rPr>
                <w:bCs/>
              </w:rPr>
              <w:t>are</w:t>
            </w:r>
            <w:proofErr w:type="gramEnd"/>
            <w:r>
              <w:rPr>
                <w:bCs/>
              </w:rPr>
              <w:t xml:space="preserve"> considered acceptable. </w:t>
            </w:r>
          </w:p>
        </w:tc>
      </w:tr>
      <w:tr w:rsidR="004F6ACD" w14:paraId="542A406B" w14:textId="77777777" w:rsidTr="006578FC">
        <w:tc>
          <w:tcPr>
            <w:cnfStyle w:val="001000000000" w:firstRow="0" w:lastRow="0" w:firstColumn="1" w:lastColumn="0" w:oddVBand="0" w:evenVBand="0" w:oddHBand="0" w:evenHBand="0" w:firstRowFirstColumn="0" w:firstRowLastColumn="0" w:lastRowFirstColumn="0" w:lastRowLastColumn="0"/>
            <w:tcW w:w="2806" w:type="dxa"/>
          </w:tcPr>
          <w:p w14:paraId="5B48C409"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 xml:space="preserve">Design all residential streets for a maximum of 50 km. Applicants should consider traffic management </w:t>
            </w:r>
            <w:proofErr w:type="gramStart"/>
            <w:r>
              <w:rPr>
                <w:bCs/>
              </w:rPr>
              <w:t>through the use of</w:t>
            </w:r>
            <w:proofErr w:type="gramEnd"/>
            <w:r>
              <w:rPr>
                <w:bCs/>
              </w:rPr>
              <w:t xml:space="preserve"> road layout or appropriate speed reducing devices.</w:t>
            </w:r>
          </w:p>
          <w:p w14:paraId="11957952"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p>
        </w:tc>
        <w:tc>
          <w:tcPr>
            <w:tcW w:w="3143" w:type="dxa"/>
            <w:gridSpan w:val="2"/>
            <w:hideMark/>
          </w:tcPr>
          <w:p w14:paraId="2E5BEF6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The streets are not consistent with the </w:t>
            </w:r>
            <w:proofErr w:type="spellStart"/>
            <w:r>
              <w:rPr>
                <w:bCs/>
              </w:rPr>
              <w:t>DCP</w:t>
            </w:r>
            <w:proofErr w:type="spellEnd"/>
            <w:r>
              <w:rPr>
                <w:bCs/>
              </w:rPr>
              <w:t xml:space="preserve"> requirements but are conducive to a lower speed environment.</w:t>
            </w:r>
          </w:p>
        </w:tc>
        <w:tc>
          <w:tcPr>
            <w:tcW w:w="3067" w:type="dxa"/>
            <w:gridSpan w:val="2"/>
          </w:tcPr>
          <w:p w14:paraId="17FCB14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5730C7CC" w14:textId="77777777" w:rsidTr="006578FC">
        <w:tc>
          <w:tcPr>
            <w:cnfStyle w:val="001000000000" w:firstRow="0" w:lastRow="0" w:firstColumn="1" w:lastColumn="0" w:oddVBand="0" w:evenVBand="0" w:oddHBand="0" w:evenHBand="0" w:firstRowFirstColumn="0" w:firstRowLastColumn="0" w:lastRowFirstColumn="0" w:lastRowLastColumn="0"/>
            <w:tcW w:w="2806" w:type="dxa"/>
          </w:tcPr>
          <w:p w14:paraId="73F62F38"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Street planting in the road reserve is to be in accordance with the Chapter.</w:t>
            </w:r>
          </w:p>
          <w:p w14:paraId="467E7C31"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p>
        </w:tc>
        <w:tc>
          <w:tcPr>
            <w:tcW w:w="3143" w:type="dxa"/>
            <w:gridSpan w:val="2"/>
          </w:tcPr>
          <w:p w14:paraId="7D6F3F96"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A Landscape Plan and Design Report were submitted. </w:t>
            </w:r>
          </w:p>
        </w:tc>
        <w:tc>
          <w:tcPr>
            <w:tcW w:w="3067" w:type="dxa"/>
            <w:gridSpan w:val="2"/>
          </w:tcPr>
          <w:p w14:paraId="2FE74AE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Capable of compliance </w:t>
            </w:r>
          </w:p>
        </w:tc>
      </w:tr>
      <w:tr w:rsidR="004F6ACD" w14:paraId="2DAD67DC" w14:textId="77777777" w:rsidTr="006578FC">
        <w:tc>
          <w:tcPr>
            <w:cnfStyle w:val="001000000000" w:firstRow="0" w:lastRow="0" w:firstColumn="1" w:lastColumn="0" w:oddVBand="0" w:evenVBand="0" w:oddHBand="0" w:evenHBand="0" w:firstRowFirstColumn="0" w:firstRowLastColumn="0" w:lastRowFirstColumn="0" w:lastRowLastColumn="0"/>
            <w:tcW w:w="2806" w:type="dxa"/>
          </w:tcPr>
          <w:p w14:paraId="056DB51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Footpaths are to be provided with a minimum width of 1.5m and are to be setback 1m from the carriageway and 450mm from property boundaries.</w:t>
            </w:r>
          </w:p>
          <w:p w14:paraId="5CC87D2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p>
        </w:tc>
        <w:tc>
          <w:tcPr>
            <w:tcW w:w="3143" w:type="dxa"/>
            <w:gridSpan w:val="2"/>
            <w:hideMark/>
          </w:tcPr>
          <w:p w14:paraId="1277416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Proposed footpaths will be constructed with a width of 1.5m and suitably setback from the road carriageway.</w:t>
            </w:r>
          </w:p>
        </w:tc>
        <w:tc>
          <w:tcPr>
            <w:tcW w:w="3067" w:type="dxa"/>
            <w:gridSpan w:val="2"/>
          </w:tcPr>
          <w:p w14:paraId="0414D148"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3C904C5A" w14:textId="77777777" w:rsidTr="006578FC">
        <w:tc>
          <w:tcPr>
            <w:cnfStyle w:val="001000000000" w:firstRow="0" w:lastRow="0" w:firstColumn="1" w:lastColumn="0" w:oddVBand="0" w:evenVBand="0" w:oddHBand="0" w:evenHBand="0" w:firstRowFirstColumn="0" w:firstRowLastColumn="0" w:lastRowFirstColumn="0" w:lastRowLastColumn="0"/>
            <w:tcW w:w="2806" w:type="dxa"/>
          </w:tcPr>
          <w:p w14:paraId="70763F4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 xml:space="preserve">Street lighting is to comply with the relevant standards.    </w:t>
            </w:r>
          </w:p>
          <w:p w14:paraId="0367921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p>
        </w:tc>
        <w:tc>
          <w:tcPr>
            <w:tcW w:w="3143" w:type="dxa"/>
            <w:gridSpan w:val="2"/>
          </w:tcPr>
          <w:p w14:paraId="375D4943"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A condition of consent could be included requiring all street lighting to comply with the relevant standards and details will be required prior to the release of the Construction Certificate.</w:t>
            </w:r>
          </w:p>
          <w:p w14:paraId="10D06A4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268AF972"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rsidRPr="000611B4" w14:paraId="24F84DCA" w14:textId="77777777" w:rsidTr="006578FC">
        <w:tc>
          <w:tcPr>
            <w:cnfStyle w:val="001000000000" w:firstRow="0" w:lastRow="0" w:firstColumn="1" w:lastColumn="0" w:oddVBand="0" w:evenVBand="0" w:oddHBand="0" w:evenHBand="0" w:firstRowFirstColumn="0" w:firstRowLastColumn="0" w:lastRowFirstColumn="0" w:lastRowLastColumn="0"/>
            <w:tcW w:w="9016" w:type="dxa"/>
            <w:gridSpan w:val="5"/>
          </w:tcPr>
          <w:p w14:paraId="06CDEC8B" w14:textId="77777777" w:rsidR="004F6ACD" w:rsidRPr="000611B4"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i/>
              </w:rPr>
            </w:pPr>
            <w:r>
              <w:rPr>
                <w:b/>
                <w:bCs/>
                <w:i/>
              </w:rPr>
              <w:t>3.3 Landscaping in the Road Reserve</w:t>
            </w:r>
          </w:p>
        </w:tc>
      </w:tr>
      <w:tr w:rsidR="004F6ACD" w14:paraId="6A4B3152"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64CD082F"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rPr>
            </w:pPr>
            <w:r>
              <w:rPr>
                <w:b/>
                <w:bCs/>
              </w:rPr>
              <w:t>Requirement</w:t>
            </w:r>
          </w:p>
        </w:tc>
        <w:tc>
          <w:tcPr>
            <w:tcW w:w="3143" w:type="dxa"/>
            <w:gridSpan w:val="2"/>
            <w:hideMark/>
          </w:tcPr>
          <w:p w14:paraId="28BFF00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highlight w:val="magenta"/>
              </w:rPr>
            </w:pPr>
            <w:r>
              <w:rPr>
                <w:b/>
                <w:bCs/>
              </w:rPr>
              <w:t>Proposed</w:t>
            </w:r>
          </w:p>
        </w:tc>
        <w:tc>
          <w:tcPr>
            <w:tcW w:w="3067" w:type="dxa"/>
            <w:gridSpan w:val="2"/>
          </w:tcPr>
          <w:p w14:paraId="66692206"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r>
              <w:rPr>
                <w:b/>
                <w:bCs/>
              </w:rPr>
              <w:t xml:space="preserve">Compliance </w:t>
            </w:r>
          </w:p>
        </w:tc>
      </w:tr>
      <w:tr w:rsidR="004F6ACD" w14:paraId="67A23389"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61AFFB4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lastRenderedPageBreak/>
              <w:t>Provide street plantings in locations identified in Figure 3.16</w:t>
            </w:r>
          </w:p>
        </w:tc>
        <w:tc>
          <w:tcPr>
            <w:tcW w:w="3143" w:type="dxa"/>
            <w:gridSpan w:val="2"/>
          </w:tcPr>
          <w:p w14:paraId="37474FCC"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Landscaping is consistent with the locations. The landscape plan is suitable in concept.</w:t>
            </w:r>
          </w:p>
        </w:tc>
        <w:tc>
          <w:tcPr>
            <w:tcW w:w="3067" w:type="dxa"/>
            <w:gridSpan w:val="2"/>
          </w:tcPr>
          <w:p w14:paraId="45CD14C2"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5D7F7ABB" w14:textId="77777777" w:rsidTr="006578FC">
        <w:trPr>
          <w:trHeight w:val="2530"/>
        </w:trPr>
        <w:tc>
          <w:tcPr>
            <w:cnfStyle w:val="001000000000" w:firstRow="0" w:lastRow="0" w:firstColumn="1" w:lastColumn="0" w:oddVBand="0" w:evenVBand="0" w:oddHBand="0" w:evenHBand="0" w:firstRowFirstColumn="0" w:firstRowLastColumn="0" w:lastRowFirstColumn="0" w:lastRowLastColumn="0"/>
            <w:tcW w:w="2806" w:type="dxa"/>
            <w:hideMark/>
          </w:tcPr>
          <w:p w14:paraId="549FFF89"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Provide landscaping:</w:t>
            </w:r>
          </w:p>
          <w:p w14:paraId="191B12C6" w14:textId="77777777" w:rsidR="004F6ACD" w:rsidRDefault="004F6ACD" w:rsidP="006578FC">
            <w:pPr>
              <w:numPr>
                <w:ilvl w:val="0"/>
                <w:numId w:val="6"/>
              </w:num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before="0" w:after="0" w:line="240" w:lineRule="auto"/>
              <w:ind w:left="567" w:hanging="207"/>
              <w:rPr>
                <w:bCs/>
              </w:rPr>
            </w:pPr>
            <w:r>
              <w:rPr>
                <w:bCs/>
              </w:rPr>
              <w:t>to distinguish between public and private domain and between different street hierarchy</w:t>
            </w:r>
          </w:p>
          <w:p w14:paraId="3EABEDE7" w14:textId="77777777" w:rsidR="004F6ACD" w:rsidRDefault="004F6ACD" w:rsidP="006578FC">
            <w:pPr>
              <w:numPr>
                <w:ilvl w:val="0"/>
                <w:numId w:val="6"/>
              </w:num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before="0" w:after="0" w:line="240" w:lineRule="auto"/>
              <w:rPr>
                <w:bCs/>
              </w:rPr>
            </w:pPr>
            <w:r>
              <w:rPr>
                <w:bCs/>
              </w:rPr>
              <w:t>Minimise risk to utilities and services</w:t>
            </w:r>
          </w:p>
          <w:p w14:paraId="64D284B1" w14:textId="77777777" w:rsidR="004F6ACD" w:rsidRDefault="004F6ACD" w:rsidP="006578FC">
            <w:pPr>
              <w:numPr>
                <w:ilvl w:val="0"/>
                <w:numId w:val="6"/>
              </w:num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before="0" w:after="0" w:line="240" w:lineRule="auto"/>
              <w:ind w:left="567" w:hanging="207"/>
              <w:rPr>
                <w:bCs/>
              </w:rPr>
            </w:pPr>
            <w:r>
              <w:rPr>
                <w:bCs/>
              </w:rPr>
              <w:t>Provide landscaping that is durable and suited to the environment</w:t>
            </w:r>
          </w:p>
          <w:p w14:paraId="7B3968F7" w14:textId="77777777" w:rsidR="004F6ACD" w:rsidRDefault="004F6ACD" w:rsidP="006578FC">
            <w:pPr>
              <w:numPr>
                <w:ilvl w:val="0"/>
                <w:numId w:val="6"/>
              </w:num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before="0" w:after="0" w:line="240" w:lineRule="auto"/>
              <w:rPr>
                <w:bCs/>
              </w:rPr>
            </w:pPr>
            <w:r>
              <w:rPr>
                <w:bCs/>
              </w:rPr>
              <w:t>Maintain sight distances</w:t>
            </w:r>
          </w:p>
          <w:p w14:paraId="647CD6CC" w14:textId="77777777" w:rsidR="004F6ACD" w:rsidRDefault="004F6ACD" w:rsidP="006578FC">
            <w:pPr>
              <w:numPr>
                <w:ilvl w:val="0"/>
                <w:numId w:val="6"/>
              </w:num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before="0" w:after="0" w:line="240" w:lineRule="auto"/>
              <w:ind w:left="567" w:hanging="207"/>
              <w:rPr>
                <w:bCs/>
              </w:rPr>
            </w:pPr>
            <w:r>
              <w:rPr>
                <w:bCs/>
              </w:rPr>
              <w:t>Do not obscure street lighting or traffic signals</w:t>
            </w:r>
          </w:p>
          <w:p w14:paraId="24492EBF" w14:textId="77777777" w:rsidR="004F6ACD" w:rsidRDefault="004F6ACD" w:rsidP="006578FC">
            <w:pPr>
              <w:numPr>
                <w:ilvl w:val="0"/>
                <w:numId w:val="6"/>
              </w:num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before="0" w:after="0" w:line="240" w:lineRule="auto"/>
              <w:rPr>
                <w:bCs/>
              </w:rPr>
            </w:pPr>
            <w:r>
              <w:rPr>
                <w:bCs/>
              </w:rPr>
              <w:t>Provides appropriate shade</w:t>
            </w:r>
          </w:p>
        </w:tc>
        <w:tc>
          <w:tcPr>
            <w:tcW w:w="3143" w:type="dxa"/>
            <w:gridSpan w:val="2"/>
          </w:tcPr>
          <w:p w14:paraId="269318AD"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The proposed landscaping will provide distinction between the different street hierarchy. </w:t>
            </w:r>
          </w:p>
          <w:p w14:paraId="74265CA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p w14:paraId="7EBDF252"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p w14:paraId="58062AB3"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7FA0F90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Capable of compliance</w:t>
            </w:r>
          </w:p>
        </w:tc>
      </w:tr>
      <w:tr w:rsidR="004F6ACD" w14:paraId="6A9A0BF3"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7E94407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Landscaping details are to be submitted with proposals and include the general location of plantings, species and size, safety and relationship to utilities and services.</w:t>
            </w:r>
          </w:p>
        </w:tc>
        <w:tc>
          <w:tcPr>
            <w:tcW w:w="3143" w:type="dxa"/>
            <w:gridSpan w:val="2"/>
            <w:hideMark/>
          </w:tcPr>
          <w:p w14:paraId="1879B142"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Landscaping plans and a design report has been submitted with the application. </w:t>
            </w:r>
          </w:p>
        </w:tc>
        <w:tc>
          <w:tcPr>
            <w:tcW w:w="3067" w:type="dxa"/>
            <w:gridSpan w:val="2"/>
          </w:tcPr>
          <w:p w14:paraId="0F91E20F"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 - The landscaping plan requires revision to provide additional landscaping in roads 12 &amp; 14</w:t>
            </w:r>
          </w:p>
        </w:tc>
      </w:tr>
      <w:tr w:rsidR="004F6ACD" w14:paraId="5DBF9197" w14:textId="77777777" w:rsidTr="006578FC">
        <w:tc>
          <w:tcPr>
            <w:cnfStyle w:val="001000000000" w:firstRow="0" w:lastRow="0" w:firstColumn="1" w:lastColumn="0" w:oddVBand="0" w:evenVBand="0" w:oddHBand="0" w:evenHBand="0" w:firstRowFirstColumn="0" w:firstRowLastColumn="0" w:lastRowFirstColumn="0" w:lastRowLastColumn="0"/>
            <w:tcW w:w="5949" w:type="dxa"/>
            <w:gridSpan w:val="3"/>
          </w:tcPr>
          <w:p w14:paraId="32C95374" w14:textId="77777777" w:rsidR="004F6ACD" w:rsidRPr="000611B4"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i/>
              </w:rPr>
            </w:pPr>
            <w:r>
              <w:rPr>
                <w:b/>
                <w:bCs/>
                <w:i/>
              </w:rPr>
              <w:t>3.7 Pedestrian and Cycle network</w:t>
            </w:r>
          </w:p>
        </w:tc>
        <w:tc>
          <w:tcPr>
            <w:tcW w:w="3067" w:type="dxa"/>
            <w:gridSpan w:val="2"/>
          </w:tcPr>
          <w:p w14:paraId="70934B6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i/>
              </w:rPr>
            </w:pPr>
          </w:p>
        </w:tc>
      </w:tr>
      <w:tr w:rsidR="004F6ACD" w14:paraId="4190E820"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1941477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Key pedestrian and cycle routes are to be provided generally in accordance with Figure 3.19</w:t>
            </w:r>
          </w:p>
        </w:tc>
        <w:tc>
          <w:tcPr>
            <w:tcW w:w="3143" w:type="dxa"/>
            <w:gridSpan w:val="2"/>
            <w:hideMark/>
          </w:tcPr>
          <w:p w14:paraId="785F728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Pedestrian routes and Cycle ways have been included in accordance with the Chapter.</w:t>
            </w:r>
          </w:p>
        </w:tc>
        <w:tc>
          <w:tcPr>
            <w:tcW w:w="3067" w:type="dxa"/>
            <w:gridSpan w:val="2"/>
          </w:tcPr>
          <w:p w14:paraId="00B8834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Yes – The N-S pedestrian link that would have been part of road 11a has been provided by Road 03. </w:t>
            </w:r>
          </w:p>
        </w:tc>
      </w:tr>
      <w:tr w:rsidR="004F6ACD" w14:paraId="3F43B794"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6F25E95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The design of cycle ways in accordance with Figures 3.3 – 3.15</w:t>
            </w:r>
          </w:p>
        </w:tc>
        <w:tc>
          <w:tcPr>
            <w:tcW w:w="3143" w:type="dxa"/>
            <w:gridSpan w:val="2"/>
          </w:tcPr>
          <w:p w14:paraId="1C75B27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Cycle </w:t>
            </w:r>
            <w:proofErr w:type="gramStart"/>
            <w:r>
              <w:rPr>
                <w:bCs/>
              </w:rPr>
              <w:t>are</w:t>
            </w:r>
            <w:proofErr w:type="gramEnd"/>
            <w:r>
              <w:rPr>
                <w:bCs/>
              </w:rPr>
              <w:t xml:space="preserve"> in accordance with the Chapter.</w:t>
            </w:r>
          </w:p>
          <w:p w14:paraId="6A4CE688"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p>
        </w:tc>
        <w:tc>
          <w:tcPr>
            <w:tcW w:w="3067" w:type="dxa"/>
            <w:gridSpan w:val="2"/>
          </w:tcPr>
          <w:p w14:paraId="2334E50C"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204B58B4"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23E687C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Pedestrian and cycle ways to be constructed with each stage</w:t>
            </w:r>
          </w:p>
        </w:tc>
        <w:tc>
          <w:tcPr>
            <w:tcW w:w="3143" w:type="dxa"/>
            <w:gridSpan w:val="2"/>
          </w:tcPr>
          <w:p w14:paraId="5DF39D0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Pedestrian and Cycle are included in each stage.  </w:t>
            </w:r>
          </w:p>
          <w:p w14:paraId="65DD120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p>
        </w:tc>
        <w:tc>
          <w:tcPr>
            <w:tcW w:w="3067" w:type="dxa"/>
            <w:gridSpan w:val="2"/>
          </w:tcPr>
          <w:p w14:paraId="6D097E9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49E054D1" w14:textId="77777777" w:rsidTr="006578FC">
        <w:tc>
          <w:tcPr>
            <w:cnfStyle w:val="001000000000" w:firstRow="0" w:lastRow="0" w:firstColumn="1" w:lastColumn="0" w:oddVBand="0" w:evenVBand="0" w:oddHBand="0" w:evenHBand="0" w:firstRowFirstColumn="0" w:firstRowLastColumn="0" w:lastRowFirstColumn="0" w:lastRowLastColumn="0"/>
            <w:tcW w:w="5949" w:type="dxa"/>
            <w:gridSpan w:val="3"/>
            <w:hideMark/>
          </w:tcPr>
          <w:p w14:paraId="0596BB0D"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i/>
              </w:rPr>
            </w:pPr>
            <w:r>
              <w:rPr>
                <w:b/>
                <w:bCs/>
                <w:i/>
              </w:rPr>
              <w:t>3.11 Public Transport Network</w:t>
            </w:r>
          </w:p>
        </w:tc>
        <w:tc>
          <w:tcPr>
            <w:tcW w:w="3067" w:type="dxa"/>
            <w:gridSpan w:val="2"/>
          </w:tcPr>
          <w:p w14:paraId="0292840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i/>
              </w:rPr>
            </w:pPr>
          </w:p>
        </w:tc>
      </w:tr>
      <w:tr w:rsidR="004F6ACD" w14:paraId="07D0551C"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3E229FF5"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Provision of bus routes, bus stops and bus shelters in accordance with the requirements of local bus operator.</w:t>
            </w:r>
          </w:p>
        </w:tc>
        <w:tc>
          <w:tcPr>
            <w:tcW w:w="3143" w:type="dxa"/>
            <w:gridSpan w:val="2"/>
          </w:tcPr>
          <w:p w14:paraId="515F562A"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Bus stops will </w:t>
            </w:r>
            <w:proofErr w:type="gramStart"/>
            <w:r>
              <w:rPr>
                <w:bCs/>
              </w:rPr>
              <w:t>be located in</w:t>
            </w:r>
            <w:proofErr w:type="gramEnd"/>
            <w:r>
              <w:rPr>
                <w:bCs/>
              </w:rPr>
              <w:t xml:space="preserve"> accordance with the local bus service upon completion of the subdivision.</w:t>
            </w:r>
          </w:p>
          <w:p w14:paraId="51797321"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3B42AC1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Capable of compliance </w:t>
            </w:r>
          </w:p>
        </w:tc>
      </w:tr>
      <w:tr w:rsidR="004F6ACD" w14:paraId="4B149300"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5E5DBE7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 xml:space="preserve">Indicative bus routes and stops to be provided </w:t>
            </w:r>
          </w:p>
        </w:tc>
        <w:tc>
          <w:tcPr>
            <w:tcW w:w="3143" w:type="dxa"/>
            <w:gridSpan w:val="2"/>
            <w:hideMark/>
          </w:tcPr>
          <w:p w14:paraId="4D614E13"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The location of the subject subdivision is a small part of the development of the WTC. The bus routes and bus stops will be implemented upon completion of the residential components of the approved subdivision.</w:t>
            </w:r>
          </w:p>
          <w:p w14:paraId="28FCFD21"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lastRenderedPageBreak/>
              <w:t xml:space="preserve"> </w:t>
            </w:r>
          </w:p>
        </w:tc>
        <w:tc>
          <w:tcPr>
            <w:tcW w:w="3067" w:type="dxa"/>
            <w:gridSpan w:val="2"/>
          </w:tcPr>
          <w:p w14:paraId="0C87A6BF"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lastRenderedPageBreak/>
              <w:t xml:space="preserve">Capable of compliance </w:t>
            </w:r>
          </w:p>
        </w:tc>
      </w:tr>
      <w:tr w:rsidR="004F6ACD" w14:paraId="7B421267" w14:textId="77777777" w:rsidTr="006578FC">
        <w:tc>
          <w:tcPr>
            <w:cnfStyle w:val="001000000000" w:firstRow="0" w:lastRow="0" w:firstColumn="1" w:lastColumn="0" w:oddVBand="0" w:evenVBand="0" w:oddHBand="0" w:evenHBand="0" w:firstRowFirstColumn="0" w:firstRowLastColumn="0" w:lastRowFirstColumn="0" w:lastRowLastColumn="0"/>
            <w:tcW w:w="5949" w:type="dxa"/>
            <w:gridSpan w:val="3"/>
          </w:tcPr>
          <w:p w14:paraId="6F5847E1" w14:textId="77777777" w:rsidR="004F6ACD" w:rsidRPr="000D4F1E"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i/>
                <w:sz w:val="24"/>
                <w:szCs w:val="24"/>
              </w:rPr>
            </w:pPr>
            <w:r>
              <w:rPr>
                <w:b/>
                <w:bCs/>
                <w:i/>
                <w:sz w:val="24"/>
                <w:szCs w:val="24"/>
              </w:rPr>
              <w:t>6.0</w:t>
            </w:r>
            <w:r>
              <w:rPr>
                <w:b/>
                <w:bCs/>
                <w:i/>
                <w:sz w:val="24"/>
                <w:szCs w:val="24"/>
              </w:rPr>
              <w:tab/>
              <w:t>Environmental Management</w:t>
            </w:r>
          </w:p>
        </w:tc>
        <w:tc>
          <w:tcPr>
            <w:tcW w:w="3067" w:type="dxa"/>
            <w:gridSpan w:val="2"/>
          </w:tcPr>
          <w:p w14:paraId="28CA7D9F"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i/>
                <w:sz w:val="24"/>
                <w:szCs w:val="24"/>
              </w:rPr>
            </w:pPr>
          </w:p>
        </w:tc>
      </w:tr>
      <w:tr w:rsidR="004F6ACD" w14:paraId="00623100" w14:textId="77777777" w:rsidTr="006578FC">
        <w:tc>
          <w:tcPr>
            <w:cnfStyle w:val="001000000000" w:firstRow="0" w:lastRow="0" w:firstColumn="1" w:lastColumn="0" w:oddVBand="0" w:evenVBand="0" w:oddHBand="0" w:evenHBand="0" w:firstRowFirstColumn="0" w:firstRowLastColumn="0" w:lastRowFirstColumn="0" w:lastRowLastColumn="0"/>
            <w:tcW w:w="5949" w:type="dxa"/>
            <w:gridSpan w:val="3"/>
            <w:hideMark/>
          </w:tcPr>
          <w:p w14:paraId="30C8EADC"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rPr>
            </w:pPr>
            <w:r>
              <w:rPr>
                <w:b/>
                <w:bCs/>
                <w:i/>
              </w:rPr>
              <w:t>6.2 Integrated Water Cycle Management and Water Sensitive Urban Design</w:t>
            </w:r>
          </w:p>
        </w:tc>
        <w:tc>
          <w:tcPr>
            <w:tcW w:w="3067" w:type="dxa"/>
            <w:gridSpan w:val="2"/>
          </w:tcPr>
          <w:p w14:paraId="26E6D41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i/>
              </w:rPr>
            </w:pPr>
          </w:p>
        </w:tc>
      </w:tr>
      <w:tr w:rsidR="004F6ACD" w14:paraId="083953D8"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51FE6F8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sz w:val="24"/>
                <w:szCs w:val="24"/>
              </w:rPr>
            </w:pPr>
            <w:r>
              <w:rPr>
                <w:bCs/>
              </w:rPr>
              <w:t>All stormwater discharging into a stormwater storage system is to be</w:t>
            </w:r>
            <w:r>
              <w:rPr>
                <w:bCs/>
                <w:sz w:val="24"/>
                <w:szCs w:val="24"/>
              </w:rPr>
              <w:t xml:space="preserve"> </w:t>
            </w:r>
            <w:r>
              <w:rPr>
                <w:bCs/>
              </w:rPr>
              <w:t>treated with in accordance with best practice.</w:t>
            </w:r>
          </w:p>
        </w:tc>
        <w:tc>
          <w:tcPr>
            <w:tcW w:w="3143" w:type="dxa"/>
            <w:gridSpan w:val="2"/>
          </w:tcPr>
          <w:p w14:paraId="2909F739" w14:textId="77777777" w:rsidR="004F6ACD" w:rsidRPr="00696A26" w:rsidRDefault="004F6ACD" w:rsidP="006578FC">
            <w:pPr>
              <w:cnfStyle w:val="000000000000" w:firstRow="0" w:lastRow="0" w:firstColumn="0" w:lastColumn="0" w:oddVBand="0" w:evenVBand="0" w:oddHBand="0" w:evenHBand="0" w:firstRowFirstColumn="0" w:firstRowLastColumn="0" w:lastRowFirstColumn="0" w:lastRowLastColumn="0"/>
              <w:rPr>
                <w:rFonts w:cs="Leelawadee UI Semilight"/>
                <w:noProof/>
              </w:rPr>
            </w:pPr>
            <w:r w:rsidRPr="00696A26">
              <w:rPr>
                <w:rFonts w:cs="Leelawadee UI Semilight"/>
                <w:noProof/>
              </w:rPr>
              <w:t>The proposed development has been split into three (3) individual catchments, Part of the site draining to the west to the existing development, discharging to the existing regional bio-retention basin constructed as part of stage 1-4 works, which has been sized catering for flows from the fully developed catchments. Part of the site draining to the east and the majority of the site draining south to Sparks Road.</w:t>
            </w:r>
          </w:p>
          <w:p w14:paraId="7E5E11C1" w14:textId="77777777" w:rsidR="004F6ACD" w:rsidRPr="00696A26" w:rsidRDefault="004F6ACD" w:rsidP="006578FC">
            <w:pPr>
              <w:cnfStyle w:val="000000000000" w:firstRow="0" w:lastRow="0" w:firstColumn="0" w:lastColumn="0" w:oddVBand="0" w:evenVBand="0" w:oddHBand="0" w:evenHBand="0" w:firstRowFirstColumn="0" w:firstRowLastColumn="0" w:lastRowFirstColumn="0" w:lastRowLastColumn="0"/>
              <w:rPr>
                <w:rFonts w:cs="Leelawadee UI Semilight"/>
                <w:noProof/>
              </w:rPr>
            </w:pPr>
            <w:r w:rsidRPr="00696A26">
              <w:rPr>
                <w:rFonts w:cs="Leelawadee UI Semilight"/>
                <w:noProof/>
              </w:rPr>
              <w:t>A stormwater detention and water quality basin is proposed to be constructed on lot 601 at the lot point of catchment. This basin is permanent and is proposed to be retained in the ownership of lot 601.</w:t>
            </w:r>
          </w:p>
          <w:p w14:paraId="79DC2753"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0DDD9211"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198E0B39"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1A524BC1"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All other stormwater if discharging directly into a receiving environment is to be treated in accordance with Council’s Stormwater Management Plan</w:t>
            </w:r>
          </w:p>
        </w:tc>
        <w:tc>
          <w:tcPr>
            <w:tcW w:w="3143" w:type="dxa"/>
            <w:gridSpan w:val="2"/>
            <w:hideMark/>
          </w:tcPr>
          <w:p w14:paraId="6230ED2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r>
              <w:rPr>
                <w:bCs/>
              </w:rPr>
              <w:t xml:space="preserve">All </w:t>
            </w:r>
            <w:proofErr w:type="gramStart"/>
            <w:r>
              <w:rPr>
                <w:bCs/>
              </w:rPr>
              <w:t>stormwater</w:t>
            </w:r>
            <w:proofErr w:type="gramEnd"/>
            <w:r>
              <w:rPr>
                <w:bCs/>
              </w:rPr>
              <w:t xml:space="preserve"> will be discharged</w:t>
            </w:r>
            <w:r>
              <w:rPr>
                <w:b/>
                <w:bCs/>
              </w:rPr>
              <w:t xml:space="preserve"> </w:t>
            </w:r>
            <w:r>
              <w:rPr>
                <w:noProof/>
              </w:rPr>
              <w:t>to a bio-retention/OSD system adjacent to Sparks Road.</w:t>
            </w:r>
          </w:p>
        </w:tc>
        <w:tc>
          <w:tcPr>
            <w:tcW w:w="3067" w:type="dxa"/>
            <w:gridSpan w:val="2"/>
          </w:tcPr>
          <w:p w14:paraId="0A05BF71"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27319EB9" w14:textId="77777777" w:rsidTr="006578FC">
        <w:tc>
          <w:tcPr>
            <w:cnfStyle w:val="001000000000" w:firstRow="0" w:lastRow="0" w:firstColumn="1" w:lastColumn="0" w:oddVBand="0" w:evenVBand="0" w:oddHBand="0" w:evenHBand="0" w:firstRowFirstColumn="0" w:firstRowLastColumn="0" w:lastRowFirstColumn="0" w:lastRowLastColumn="0"/>
            <w:tcW w:w="5949" w:type="dxa"/>
            <w:gridSpan w:val="3"/>
            <w:hideMark/>
          </w:tcPr>
          <w:p w14:paraId="795153E2"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i/>
              </w:rPr>
            </w:pPr>
            <w:r>
              <w:rPr>
                <w:b/>
                <w:bCs/>
                <w:i/>
              </w:rPr>
              <w:t>6.6 Contamination Management</w:t>
            </w:r>
          </w:p>
        </w:tc>
        <w:tc>
          <w:tcPr>
            <w:tcW w:w="3067" w:type="dxa"/>
            <w:gridSpan w:val="2"/>
          </w:tcPr>
          <w:p w14:paraId="400BFE9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i/>
              </w:rPr>
            </w:pPr>
          </w:p>
        </w:tc>
      </w:tr>
      <w:tr w:rsidR="004F6ACD" w14:paraId="1DEFA1DF"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35A2F2D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 xml:space="preserve">DAs for development on land identified on Figure 6.3 needs to consider contaminated land planning guidelines. </w:t>
            </w:r>
          </w:p>
        </w:tc>
        <w:tc>
          <w:tcPr>
            <w:tcW w:w="3143" w:type="dxa"/>
            <w:gridSpan w:val="2"/>
          </w:tcPr>
          <w:p w14:paraId="474A7DC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The land contamination was considered with the earlier applications and contamination reports for Stages 6 – 10 have been prepared concurrently and submitted with this application. </w:t>
            </w:r>
          </w:p>
          <w:p w14:paraId="0FC79E6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7813780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4EB903C0"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0D21A3E2"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i/>
              </w:rPr>
            </w:pPr>
            <w:r>
              <w:rPr>
                <w:b/>
                <w:bCs/>
                <w:i/>
              </w:rPr>
              <w:t>6.7 Retaining Walls and Retaining Walls</w:t>
            </w:r>
          </w:p>
        </w:tc>
        <w:tc>
          <w:tcPr>
            <w:tcW w:w="3143" w:type="dxa"/>
            <w:gridSpan w:val="2"/>
          </w:tcPr>
          <w:p w14:paraId="5E98CD99"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p>
        </w:tc>
        <w:tc>
          <w:tcPr>
            <w:tcW w:w="3067" w:type="dxa"/>
            <w:gridSpan w:val="2"/>
          </w:tcPr>
          <w:p w14:paraId="27143EC6"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p>
        </w:tc>
      </w:tr>
      <w:tr w:rsidR="004F6ACD" w14:paraId="6709290C"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2AD1C41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Construct retaining walls in a consistent manner that is visually unobtrusive.</w:t>
            </w:r>
          </w:p>
        </w:tc>
        <w:tc>
          <w:tcPr>
            <w:tcW w:w="3143" w:type="dxa"/>
            <w:gridSpan w:val="2"/>
            <w:hideMark/>
          </w:tcPr>
          <w:p w14:paraId="4C5BF94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Retaining wall details have been provided. The walls within the residential lots and adjacent to </w:t>
            </w:r>
            <w:proofErr w:type="spellStart"/>
            <w:r>
              <w:rPr>
                <w:bCs/>
              </w:rPr>
              <w:t>Mataram</w:t>
            </w:r>
            <w:proofErr w:type="spellEnd"/>
            <w:r>
              <w:rPr>
                <w:bCs/>
              </w:rPr>
              <w:t xml:space="preserve"> road </w:t>
            </w:r>
            <w:proofErr w:type="gramStart"/>
            <w:r>
              <w:rPr>
                <w:bCs/>
              </w:rPr>
              <w:t>are considered to be</w:t>
            </w:r>
            <w:proofErr w:type="gramEnd"/>
            <w:r>
              <w:rPr>
                <w:bCs/>
              </w:rPr>
              <w:t xml:space="preserve"> characteristic of development in the area and generally unobtrusive. The northern side of </w:t>
            </w:r>
            <w:proofErr w:type="spellStart"/>
            <w:r>
              <w:rPr>
                <w:bCs/>
              </w:rPr>
              <w:t>Mataram</w:t>
            </w:r>
            <w:proofErr w:type="spellEnd"/>
            <w:r>
              <w:rPr>
                <w:bCs/>
              </w:rPr>
              <w:t xml:space="preserve"> Road will be battered removing the need for any retaining in this location. </w:t>
            </w:r>
          </w:p>
        </w:tc>
        <w:tc>
          <w:tcPr>
            <w:tcW w:w="3067" w:type="dxa"/>
            <w:gridSpan w:val="2"/>
          </w:tcPr>
          <w:p w14:paraId="7F75D8C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Yes </w:t>
            </w:r>
          </w:p>
        </w:tc>
      </w:tr>
      <w:tr w:rsidR="004F6ACD" w14:paraId="560256F3"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65788F6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i/>
              </w:rPr>
            </w:pPr>
            <w:r>
              <w:rPr>
                <w:b/>
                <w:bCs/>
                <w:i/>
              </w:rPr>
              <w:lastRenderedPageBreak/>
              <w:t>6.8 Soils</w:t>
            </w:r>
          </w:p>
        </w:tc>
        <w:tc>
          <w:tcPr>
            <w:tcW w:w="3143" w:type="dxa"/>
            <w:gridSpan w:val="2"/>
          </w:tcPr>
          <w:p w14:paraId="5D21EDF5"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p>
        </w:tc>
        <w:tc>
          <w:tcPr>
            <w:tcW w:w="3067" w:type="dxa"/>
            <w:gridSpan w:val="2"/>
          </w:tcPr>
          <w:p w14:paraId="79B2A8CA"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p>
        </w:tc>
      </w:tr>
      <w:tr w:rsidR="004F6ACD" w14:paraId="5A5A9C2D"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32CE950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 xml:space="preserve">Erosion and sediment controls are to be submitted with DAs. </w:t>
            </w:r>
          </w:p>
        </w:tc>
        <w:tc>
          <w:tcPr>
            <w:tcW w:w="3143" w:type="dxa"/>
            <w:gridSpan w:val="2"/>
          </w:tcPr>
          <w:p w14:paraId="3A36E9F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Erosion and sediment controls have been submitted and are satisfactory.</w:t>
            </w:r>
          </w:p>
          <w:p w14:paraId="67BB18E0"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0FB62949"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7F76547C" w14:textId="77777777" w:rsidTr="006578FC">
        <w:tc>
          <w:tcPr>
            <w:cnfStyle w:val="001000000000" w:firstRow="0" w:lastRow="0" w:firstColumn="1" w:lastColumn="0" w:oddVBand="0" w:evenVBand="0" w:oddHBand="0" w:evenHBand="0" w:firstRowFirstColumn="0" w:firstRowLastColumn="0" w:lastRowFirstColumn="0" w:lastRowLastColumn="0"/>
            <w:tcW w:w="5949" w:type="dxa"/>
            <w:gridSpan w:val="3"/>
            <w:hideMark/>
          </w:tcPr>
          <w:p w14:paraId="61264F33"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
                <w:bCs/>
              </w:rPr>
            </w:pPr>
            <w:r>
              <w:rPr>
                <w:b/>
                <w:bCs/>
                <w:i/>
              </w:rPr>
              <w:t>6.9 Acoustics</w:t>
            </w:r>
          </w:p>
        </w:tc>
        <w:tc>
          <w:tcPr>
            <w:tcW w:w="3067" w:type="dxa"/>
            <w:gridSpan w:val="2"/>
          </w:tcPr>
          <w:p w14:paraId="15B9441A"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i/>
              </w:rPr>
            </w:pPr>
          </w:p>
        </w:tc>
      </w:tr>
      <w:tr w:rsidR="004F6ACD" w14:paraId="081A5167"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79941E5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i/>
              </w:rPr>
            </w:pPr>
            <w:r>
              <w:rPr>
                <w:b/>
                <w:bCs/>
              </w:rPr>
              <w:t>Requirement</w:t>
            </w:r>
          </w:p>
        </w:tc>
        <w:tc>
          <w:tcPr>
            <w:tcW w:w="3143" w:type="dxa"/>
            <w:gridSpan w:val="2"/>
            <w:hideMark/>
          </w:tcPr>
          <w:p w14:paraId="425CF534"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r>
              <w:rPr>
                <w:b/>
                <w:bCs/>
              </w:rPr>
              <w:t>Proposed</w:t>
            </w:r>
          </w:p>
        </w:tc>
        <w:tc>
          <w:tcPr>
            <w:tcW w:w="3067" w:type="dxa"/>
            <w:gridSpan w:val="2"/>
          </w:tcPr>
          <w:p w14:paraId="0337A0A3"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p>
        </w:tc>
      </w:tr>
      <w:tr w:rsidR="004F6ACD" w14:paraId="0894C36A"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74B19B22"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Provide noise mitigation measures to minimise noise from the railway corridor and Sparks Road.</w:t>
            </w:r>
          </w:p>
        </w:tc>
        <w:tc>
          <w:tcPr>
            <w:tcW w:w="3143" w:type="dxa"/>
            <w:gridSpan w:val="2"/>
          </w:tcPr>
          <w:p w14:paraId="5C995975"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Stages 1-4 have been constructed to provide an acoustic buffer along Sparks Road in accordance with the Chapter.</w:t>
            </w:r>
          </w:p>
          <w:p w14:paraId="0209C0A3"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4B2FEC9B"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An acoustic barrier will be required to Sparks Road within residue Lot 601, subject to future DA</w:t>
            </w:r>
          </w:p>
        </w:tc>
      </w:tr>
      <w:tr w:rsidR="004F6ACD" w14:paraId="16CA6860"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4E19807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Provide all practicable mitigation measures for noise and vibrations for development within 60m of the rail corridor.</w:t>
            </w:r>
          </w:p>
        </w:tc>
        <w:tc>
          <w:tcPr>
            <w:tcW w:w="3143" w:type="dxa"/>
            <w:gridSpan w:val="2"/>
          </w:tcPr>
          <w:p w14:paraId="43622F98"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The site is greater than 60m from the rail corridor. The proposal is for subdivision only and any future development of the sites will consider potential mitigation measures if warranted.</w:t>
            </w:r>
          </w:p>
          <w:p w14:paraId="28C8B64F"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3706B13E"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4A944138" w14:textId="77777777" w:rsidTr="006578FC">
        <w:tc>
          <w:tcPr>
            <w:cnfStyle w:val="001000000000" w:firstRow="0" w:lastRow="0" w:firstColumn="1" w:lastColumn="0" w:oddVBand="0" w:evenVBand="0" w:oddHBand="0" w:evenHBand="0" w:firstRowFirstColumn="0" w:firstRowLastColumn="0" w:lastRowFirstColumn="0" w:lastRowLastColumn="0"/>
            <w:tcW w:w="2806" w:type="dxa"/>
            <w:hideMark/>
          </w:tcPr>
          <w:p w14:paraId="6E12DDF9"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Reduce road noise impacts.</w:t>
            </w:r>
          </w:p>
        </w:tc>
        <w:tc>
          <w:tcPr>
            <w:tcW w:w="3143" w:type="dxa"/>
            <w:gridSpan w:val="2"/>
          </w:tcPr>
          <w:p w14:paraId="64DA9503"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The proposal is for subdivision only and any future development of the sites will consider potential noise mitigation measures if warranted.</w:t>
            </w:r>
          </w:p>
          <w:p w14:paraId="30938229"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
                <w:bCs/>
              </w:rPr>
            </w:pPr>
          </w:p>
        </w:tc>
        <w:tc>
          <w:tcPr>
            <w:tcW w:w="3067" w:type="dxa"/>
            <w:gridSpan w:val="2"/>
          </w:tcPr>
          <w:p w14:paraId="25F53237"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4812CE31" w14:textId="77777777" w:rsidTr="006578FC">
        <w:tc>
          <w:tcPr>
            <w:cnfStyle w:val="001000000000" w:firstRow="0" w:lastRow="0" w:firstColumn="1" w:lastColumn="0" w:oddVBand="0" w:evenVBand="0" w:oddHBand="0" w:evenHBand="0" w:firstRowFirstColumn="0" w:firstRowLastColumn="0" w:lastRowFirstColumn="0" w:lastRowLastColumn="0"/>
            <w:tcW w:w="2806" w:type="dxa"/>
          </w:tcPr>
          <w:p w14:paraId="3496E7FF"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Submit a noise study prepared by an appropriately qualified acoustic consultant for DAs fronting Sparks Road and in the vicinity of access roads.</w:t>
            </w:r>
          </w:p>
        </w:tc>
        <w:tc>
          <w:tcPr>
            <w:tcW w:w="3143" w:type="dxa"/>
            <w:gridSpan w:val="2"/>
          </w:tcPr>
          <w:p w14:paraId="1C4EF5A2" w14:textId="77777777" w:rsidR="004F6ACD" w:rsidRPr="000501C3"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The site results in lots in the vicinity of access roads. An Acoustic and Vibration Impact assessment was undertaken for the subdivision. Acoustic barriers </w:t>
            </w:r>
            <w:proofErr w:type="gramStart"/>
            <w:r>
              <w:rPr>
                <w:bCs/>
              </w:rPr>
              <w:t>similar to</w:t>
            </w:r>
            <w:proofErr w:type="gramEnd"/>
            <w:r>
              <w:rPr>
                <w:bCs/>
              </w:rPr>
              <w:t xml:space="preserve"> that implemented with Stage 1-4 will be required to be provided on Lot 601 to assist with reducing the impacts of noise from Sparks Road within the greater subdivision. Architectural treatments can be included in future buildings to mitigate noise impacts.</w:t>
            </w:r>
          </w:p>
        </w:tc>
        <w:tc>
          <w:tcPr>
            <w:tcW w:w="3067" w:type="dxa"/>
            <w:gridSpan w:val="2"/>
          </w:tcPr>
          <w:p w14:paraId="1C321315"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Yes</w:t>
            </w:r>
          </w:p>
        </w:tc>
      </w:tr>
      <w:tr w:rsidR="004F6ACD" w14:paraId="743EC47C" w14:textId="77777777" w:rsidTr="006578FC">
        <w:tc>
          <w:tcPr>
            <w:cnfStyle w:val="001000000000" w:firstRow="0" w:lastRow="0" w:firstColumn="1" w:lastColumn="0" w:oddVBand="0" w:evenVBand="0" w:oddHBand="0" w:evenHBand="0" w:firstRowFirstColumn="0" w:firstRowLastColumn="0" w:lastRowFirstColumn="0" w:lastRowLastColumn="0"/>
            <w:tcW w:w="2806" w:type="dxa"/>
          </w:tcPr>
          <w:p w14:paraId="147D052C"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bCs/>
              </w:rPr>
            </w:pPr>
            <w:r>
              <w:rPr>
                <w:bCs/>
              </w:rPr>
              <w:t>Mitigate noise impacts on residential areas from non-residential uses by imposing operating hours and other operational measures as appropriate.</w:t>
            </w:r>
          </w:p>
        </w:tc>
        <w:tc>
          <w:tcPr>
            <w:tcW w:w="3143" w:type="dxa"/>
            <w:gridSpan w:val="2"/>
          </w:tcPr>
          <w:p w14:paraId="1B3C1485"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 xml:space="preserve">All residential use is proposed </w:t>
            </w:r>
          </w:p>
          <w:p w14:paraId="6AEBFA3F"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p>
        </w:tc>
        <w:tc>
          <w:tcPr>
            <w:tcW w:w="3067" w:type="dxa"/>
            <w:gridSpan w:val="2"/>
          </w:tcPr>
          <w:p w14:paraId="79EC2B1C" w14:textId="77777777" w:rsidR="004F6ACD" w:rsidRDefault="004F6ACD" w:rsidP="006578F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cnfStyle w:val="000000000000" w:firstRow="0" w:lastRow="0" w:firstColumn="0" w:lastColumn="0" w:oddVBand="0" w:evenVBand="0" w:oddHBand="0" w:evenHBand="0" w:firstRowFirstColumn="0" w:firstRowLastColumn="0" w:lastRowFirstColumn="0" w:lastRowLastColumn="0"/>
              <w:rPr>
                <w:bCs/>
              </w:rPr>
            </w:pPr>
            <w:r>
              <w:rPr>
                <w:bCs/>
              </w:rPr>
              <w:t>NA</w:t>
            </w:r>
          </w:p>
        </w:tc>
      </w:tr>
    </w:tbl>
    <w:p w14:paraId="2704B7DE" w14:textId="77777777" w:rsidR="004F6ACD" w:rsidRDefault="004F6ACD" w:rsidP="004F6ACD"/>
    <w:p w14:paraId="1CD5BFE8" w14:textId="77777777" w:rsidR="004F6ACD" w:rsidRPr="004F6ACD" w:rsidRDefault="004F6ACD" w:rsidP="004F6ACD"/>
    <w:sectPr w:rsidR="004F6ACD" w:rsidRPr="004F6A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11799"/>
    <w:multiLevelType w:val="hybridMultilevel"/>
    <w:tmpl w:val="20D8497E"/>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211B44C1"/>
    <w:multiLevelType w:val="hybridMultilevel"/>
    <w:tmpl w:val="A4560B08"/>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2A4D0FEA"/>
    <w:multiLevelType w:val="hybridMultilevel"/>
    <w:tmpl w:val="2D4891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1B927FA"/>
    <w:multiLevelType w:val="hybridMultilevel"/>
    <w:tmpl w:val="D89C93F8"/>
    <w:lvl w:ilvl="0" w:tplc="687CE6FA">
      <w:start w:val="2"/>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6E546E39"/>
    <w:multiLevelType w:val="hybridMultilevel"/>
    <w:tmpl w:val="970889E8"/>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7C355D4B"/>
    <w:multiLevelType w:val="hybridMultilevel"/>
    <w:tmpl w:val="DF5C4D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AB"/>
    <w:rsid w:val="00152C1E"/>
    <w:rsid w:val="00317058"/>
    <w:rsid w:val="003E1A8B"/>
    <w:rsid w:val="003F2F63"/>
    <w:rsid w:val="004649E6"/>
    <w:rsid w:val="004F6ACD"/>
    <w:rsid w:val="00636AAB"/>
    <w:rsid w:val="00696A26"/>
    <w:rsid w:val="006E116C"/>
    <w:rsid w:val="008C4E88"/>
    <w:rsid w:val="00934FB9"/>
    <w:rsid w:val="009E1619"/>
    <w:rsid w:val="00A779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9838"/>
  <w15:chartTrackingRefBased/>
  <w15:docId w15:val="{9B8CBEB9-4642-4435-A03C-9373F2DB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49E6"/>
    <w:pPr>
      <w:spacing w:before="120" w:after="120" w:line="220" w:lineRule="exact"/>
    </w:pPr>
    <w:rPr>
      <w:rFonts w:ascii="Leelawadee UI Semilight" w:hAnsi="Leelawadee UI Semilight"/>
      <w:color w:val="000000"/>
      <w:sz w:val="18"/>
      <w:szCs w:val="20"/>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85" w:type="dxa"/>
        <w:right w:w="85" w:type="dxa"/>
      </w:tblCellMar>
    </w:tblPr>
    <w:tcPr>
      <w:shd w:val="clear" w:color="auto" w:fill="D9D9D9" w:themeFill="background1" w:themeFillShade="D9"/>
    </w:tcPr>
    <w:tblStylePr w:type="firstRow">
      <w:pPr>
        <w:jc w:val="left"/>
      </w:pPr>
      <w:rPr>
        <w:b/>
        <w:color w:val="FFFFFF" w:themeColor="background1"/>
        <w:sz w:val="20"/>
      </w:rPr>
      <w:tblPr/>
      <w:trPr>
        <w:tblHeader/>
      </w:trPr>
      <w:tcPr>
        <w:shd w:val="clear" w:color="auto" w:fill="44546A" w:themeFill="text2"/>
      </w:tcPr>
    </w:tblStylePr>
    <w:tblStylePr w:type="lastRow">
      <w:rPr>
        <w:b/>
      </w:rPr>
    </w:tblStylePr>
    <w:tblStylePr w:type="firstCol">
      <w:pPr>
        <w:jc w:val="left"/>
      </w:pPr>
      <w:rPr>
        <w:b w:val="0"/>
        <w:color w:val="000000" w:themeColor="text1"/>
      </w:rPr>
    </w:tblStylePr>
    <w:tblStylePr w:type="lastCol">
      <w:pPr>
        <w:jc w:val="righ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2296</Words>
  <Characters>12517</Characters>
  <Application>Microsoft Office Word</Application>
  <DocSecurity>0</DocSecurity>
  <Lines>625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 Burr</cp:lastModifiedBy>
  <cp:revision>2</cp:revision>
  <dcterms:created xsi:type="dcterms:W3CDTF">2021-11-15T00:38:00Z</dcterms:created>
  <dcterms:modified xsi:type="dcterms:W3CDTF">2021-11-15T00:38:00Z</dcterms:modified>
</cp:coreProperties>
</file>